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18D37" w14:textId="5CF487BC" w:rsidR="00E61D0D" w:rsidRDefault="00E9677B">
      <w:pPr>
        <w:shd w:val="clear" w:color="auto" w:fill="FFFFFF"/>
        <w:rPr>
          <w:sz w:val="22"/>
          <w:szCs w:val="22"/>
        </w:rPr>
      </w:pPr>
      <w:bookmarkStart w:id="0" w:name="_GoBack"/>
      <w:bookmarkEnd w:id="0"/>
      <w:r>
        <w:rPr>
          <w:noProof/>
          <w:sz w:val="22"/>
          <w:szCs w:val="22"/>
        </w:rPr>
        <w:drawing>
          <wp:inline distT="0" distB="0" distL="0" distR="0" wp14:anchorId="4F963FE0" wp14:editId="76829F4A">
            <wp:extent cx="164592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389890"/>
                    </a:xfrm>
                    <a:prstGeom prst="rect">
                      <a:avLst/>
                    </a:prstGeom>
                    <a:noFill/>
                  </pic:spPr>
                </pic:pic>
              </a:graphicData>
            </a:graphic>
          </wp:inline>
        </w:drawing>
      </w:r>
    </w:p>
    <w:p w14:paraId="4D83176D" w14:textId="77777777" w:rsidR="00E61D0D" w:rsidRDefault="005B5C80">
      <w:pPr>
        <w:shd w:val="clear" w:color="auto" w:fill="FFFFFF"/>
      </w:pPr>
      <w:r>
        <w:rPr>
          <w:rFonts w:ascii="Arial" w:eastAsia="Arial" w:hAnsi="Arial" w:cs="Arial"/>
          <w:b/>
          <w:bCs/>
        </w:rPr>
        <w:t> </w:t>
      </w:r>
    </w:p>
    <w:p w14:paraId="4F4C3D71" w14:textId="26192A3F" w:rsidR="00E9677B" w:rsidRDefault="00EB264E" w:rsidP="00E81117">
      <w:pPr>
        <w:shd w:val="clear" w:color="auto" w:fill="FFFFFF"/>
        <w:rPr>
          <w:rFonts w:ascii="Arial" w:eastAsia="Arial" w:hAnsi="Arial" w:cs="Arial"/>
          <w:b/>
          <w:bCs/>
        </w:rPr>
      </w:pPr>
      <w:r>
        <w:rPr>
          <w:rFonts w:ascii="Arial" w:eastAsia="Arial" w:hAnsi="Arial" w:cs="Arial"/>
          <w:b/>
          <w:bCs/>
        </w:rPr>
        <w:t>FOR IMMEDIATE RELEASE</w:t>
      </w:r>
    </w:p>
    <w:p w14:paraId="14973383" w14:textId="2C0823A5" w:rsidR="00E61D0D" w:rsidRDefault="005B5C80" w:rsidP="00E81117">
      <w:pPr>
        <w:shd w:val="clear" w:color="auto" w:fill="FFFFFF"/>
      </w:pPr>
      <w:r>
        <w:rPr>
          <w:rFonts w:ascii="Arial" w:eastAsia="Arial" w:hAnsi="Arial" w:cs="Arial"/>
          <w:b/>
          <w:bCs/>
        </w:rPr>
        <w:t> </w:t>
      </w:r>
    </w:p>
    <w:p w14:paraId="079FE463" w14:textId="1CBA837E" w:rsidR="00E61D0D" w:rsidRDefault="00E455FC">
      <w:pPr>
        <w:shd w:val="clear" w:color="auto" w:fill="FFFFFF"/>
        <w:jc w:val="center"/>
      </w:pPr>
      <w:r>
        <w:rPr>
          <w:rFonts w:ascii="Arial" w:eastAsia="Arial" w:hAnsi="Arial" w:cs="Arial"/>
          <w:b/>
          <w:bCs/>
        </w:rPr>
        <w:t>Teladoc Completes Acquisition of Best Doctors</w:t>
      </w:r>
    </w:p>
    <w:p w14:paraId="1C095B7F" w14:textId="77777777" w:rsidR="00E61D0D" w:rsidRDefault="005B5C80">
      <w:pPr>
        <w:jc w:val="center"/>
        <w:rPr>
          <w:sz w:val="22"/>
          <w:szCs w:val="22"/>
        </w:rPr>
      </w:pPr>
      <w:r>
        <w:rPr>
          <w:rFonts w:ascii="Arial" w:eastAsia="Arial" w:hAnsi="Arial" w:cs="Arial"/>
          <w:i/>
          <w:iCs/>
          <w:sz w:val="22"/>
          <w:szCs w:val="22"/>
        </w:rPr>
        <w:t> </w:t>
      </w:r>
    </w:p>
    <w:p w14:paraId="2E07CD16" w14:textId="20B34D85" w:rsidR="00E61D0D" w:rsidRDefault="005B5C80">
      <w:pPr>
        <w:jc w:val="center"/>
        <w:rPr>
          <w:sz w:val="22"/>
          <w:szCs w:val="22"/>
        </w:rPr>
      </w:pPr>
      <w:r>
        <w:rPr>
          <w:rFonts w:ascii="Arial" w:eastAsia="Arial" w:hAnsi="Arial" w:cs="Arial"/>
          <w:i/>
          <w:iCs/>
          <w:sz w:val="22"/>
          <w:szCs w:val="22"/>
        </w:rPr>
        <w:t xml:space="preserve">Acquisition </w:t>
      </w:r>
      <w:r w:rsidR="00856971">
        <w:rPr>
          <w:rFonts w:ascii="Arial" w:eastAsia="Arial" w:hAnsi="Arial" w:cs="Arial"/>
          <w:i/>
          <w:iCs/>
          <w:sz w:val="22"/>
          <w:szCs w:val="22"/>
        </w:rPr>
        <w:t xml:space="preserve">paves the way for Teladoc to </w:t>
      </w:r>
      <w:r w:rsidR="001B78B1">
        <w:rPr>
          <w:rFonts w:ascii="Arial" w:eastAsia="Arial" w:hAnsi="Arial" w:cs="Arial"/>
          <w:i/>
          <w:iCs/>
          <w:sz w:val="22"/>
          <w:szCs w:val="22"/>
        </w:rPr>
        <w:t>deliver on</w:t>
      </w:r>
      <w:r w:rsidR="00856971">
        <w:rPr>
          <w:rFonts w:ascii="Arial" w:eastAsia="Arial" w:hAnsi="Arial" w:cs="Arial"/>
          <w:i/>
          <w:iCs/>
          <w:sz w:val="22"/>
          <w:szCs w:val="22"/>
        </w:rPr>
        <w:t xml:space="preserve"> new paradigm for </w:t>
      </w:r>
      <w:r w:rsidR="000E5C3D">
        <w:rPr>
          <w:rFonts w:ascii="Arial" w:eastAsia="Arial" w:hAnsi="Arial" w:cs="Arial"/>
          <w:i/>
          <w:iCs/>
          <w:sz w:val="22"/>
          <w:szCs w:val="22"/>
        </w:rPr>
        <w:t>healthcare delivery</w:t>
      </w:r>
      <w:r w:rsidR="00856971">
        <w:rPr>
          <w:rFonts w:ascii="Arial" w:eastAsia="Arial" w:hAnsi="Arial" w:cs="Arial"/>
          <w:i/>
          <w:iCs/>
          <w:sz w:val="22"/>
          <w:szCs w:val="22"/>
        </w:rPr>
        <w:t xml:space="preserve"> </w:t>
      </w:r>
      <w:r>
        <w:rPr>
          <w:rFonts w:ascii="Arial" w:eastAsia="Arial" w:hAnsi="Arial" w:cs="Arial"/>
          <w:i/>
          <w:iCs/>
          <w:sz w:val="22"/>
          <w:szCs w:val="22"/>
        </w:rPr>
        <w:t xml:space="preserve"> </w:t>
      </w:r>
    </w:p>
    <w:p w14:paraId="7C539670" w14:textId="77777777" w:rsidR="00E61D0D" w:rsidRDefault="005B5C80">
      <w:pPr>
        <w:shd w:val="clear" w:color="auto" w:fill="FFFFFF"/>
        <w:jc w:val="center"/>
      </w:pPr>
      <w:r>
        <w:rPr>
          <w:rFonts w:ascii="Arial" w:eastAsia="Arial" w:hAnsi="Arial" w:cs="Arial"/>
          <w:b/>
          <w:bCs/>
        </w:rPr>
        <w:t> </w:t>
      </w:r>
    </w:p>
    <w:p w14:paraId="2EA141C3" w14:textId="19B1B372" w:rsidR="00E455FC" w:rsidRPr="00E455FC" w:rsidRDefault="005B5C80" w:rsidP="00E455FC">
      <w:pPr>
        <w:shd w:val="clear" w:color="auto" w:fill="FFFFFF"/>
        <w:rPr>
          <w:rFonts w:ascii="Arial" w:eastAsia="Arial" w:hAnsi="Arial" w:cs="Arial"/>
          <w:sz w:val="22"/>
          <w:szCs w:val="22"/>
        </w:rPr>
      </w:pPr>
      <w:r>
        <w:rPr>
          <w:rFonts w:ascii="Arial" w:eastAsia="Arial" w:hAnsi="Arial" w:cs="Arial"/>
          <w:b/>
          <w:bCs/>
          <w:sz w:val="22"/>
          <w:szCs w:val="22"/>
        </w:rPr>
        <w:t xml:space="preserve">PURCHASE, NY, </w:t>
      </w:r>
      <w:r w:rsidR="00E455FC">
        <w:rPr>
          <w:rFonts w:ascii="Arial" w:eastAsia="Arial" w:hAnsi="Arial" w:cs="Arial"/>
          <w:b/>
          <w:bCs/>
          <w:sz w:val="22"/>
          <w:szCs w:val="22"/>
        </w:rPr>
        <w:t>July 1</w:t>
      </w:r>
      <w:r w:rsidR="0020441C">
        <w:rPr>
          <w:rFonts w:ascii="Arial" w:eastAsia="Arial" w:hAnsi="Arial" w:cs="Arial"/>
          <w:b/>
          <w:bCs/>
          <w:sz w:val="22"/>
          <w:szCs w:val="22"/>
        </w:rPr>
        <w:t>7</w:t>
      </w:r>
      <w:r>
        <w:rPr>
          <w:rFonts w:ascii="Arial" w:eastAsia="Arial" w:hAnsi="Arial" w:cs="Arial"/>
          <w:b/>
          <w:bCs/>
          <w:sz w:val="22"/>
          <w:szCs w:val="22"/>
        </w:rPr>
        <w:t>, 2017</w:t>
      </w:r>
      <w:r>
        <w:rPr>
          <w:rFonts w:ascii="Arial" w:eastAsia="Arial" w:hAnsi="Arial" w:cs="Arial"/>
          <w:sz w:val="22"/>
          <w:szCs w:val="22"/>
        </w:rPr>
        <w:t xml:space="preserve"> -- </w:t>
      </w:r>
      <w:hyperlink r:id="rId9" w:history="1">
        <w:r>
          <w:rPr>
            <w:rFonts w:ascii="Arial" w:eastAsia="Arial" w:hAnsi="Arial" w:cs="Arial"/>
            <w:color w:val="0000FF"/>
            <w:sz w:val="22"/>
            <w:szCs w:val="22"/>
            <w:u w:val="single" w:color="0000FF"/>
          </w:rPr>
          <w:t>Teladoc</w:t>
        </w:r>
      </w:hyperlink>
      <w:r>
        <w:rPr>
          <w:rFonts w:ascii="Arial" w:eastAsia="Arial" w:hAnsi="Arial" w:cs="Arial"/>
          <w:sz w:val="22"/>
          <w:szCs w:val="22"/>
        </w:rPr>
        <w:t xml:space="preserve">, Inc. (NYSE: TDOC), </w:t>
      </w:r>
      <w:r w:rsidR="00E455FC" w:rsidRPr="00E455FC">
        <w:rPr>
          <w:rFonts w:ascii="Arial" w:eastAsia="Arial" w:hAnsi="Arial" w:cs="Arial"/>
          <w:sz w:val="22"/>
          <w:szCs w:val="22"/>
        </w:rPr>
        <w:t xml:space="preserve">the nation’s first and largest telehealth platform, today announced </w:t>
      </w:r>
      <w:r w:rsidR="00C520EB">
        <w:rPr>
          <w:rFonts w:ascii="Arial" w:eastAsia="Arial" w:hAnsi="Arial" w:cs="Arial"/>
          <w:sz w:val="22"/>
          <w:szCs w:val="22"/>
        </w:rPr>
        <w:t xml:space="preserve">the </w:t>
      </w:r>
      <w:r w:rsidR="00E455FC" w:rsidRPr="00E455FC">
        <w:rPr>
          <w:rFonts w:ascii="Arial" w:eastAsia="Arial" w:hAnsi="Arial" w:cs="Arial"/>
          <w:sz w:val="22"/>
          <w:szCs w:val="22"/>
        </w:rPr>
        <w:t>completion of its acquisition of Best Doctors, the world’s leading expert medical consultation company focused on improving health outcomes for the most complex, critical and costly medical issues.</w:t>
      </w:r>
      <w:r w:rsidR="00130510">
        <w:rPr>
          <w:rFonts w:ascii="Arial" w:eastAsia="Arial" w:hAnsi="Arial" w:cs="Arial"/>
          <w:sz w:val="22"/>
          <w:szCs w:val="22"/>
        </w:rPr>
        <w:t xml:space="preserve"> With its newly acquired global footprint, network of more than 50,000 medical experts</w:t>
      </w:r>
      <w:r w:rsidR="00BB7810">
        <w:rPr>
          <w:rFonts w:ascii="Arial" w:eastAsia="Arial" w:hAnsi="Arial" w:cs="Arial"/>
          <w:sz w:val="22"/>
          <w:szCs w:val="22"/>
        </w:rPr>
        <w:t>,</w:t>
      </w:r>
      <w:r w:rsidR="00130510">
        <w:rPr>
          <w:rFonts w:ascii="Arial" w:eastAsia="Arial" w:hAnsi="Arial" w:cs="Arial"/>
          <w:sz w:val="22"/>
          <w:szCs w:val="22"/>
        </w:rPr>
        <w:t xml:space="preserve"> and </w:t>
      </w:r>
      <w:r w:rsidR="000E5C3D">
        <w:rPr>
          <w:rFonts w:ascii="Arial" w:eastAsia="Arial" w:hAnsi="Arial" w:cs="Arial"/>
          <w:sz w:val="22"/>
          <w:szCs w:val="22"/>
        </w:rPr>
        <w:t>unmatched</w:t>
      </w:r>
      <w:r w:rsidR="00130510">
        <w:rPr>
          <w:rFonts w:ascii="Arial" w:eastAsia="Arial" w:hAnsi="Arial" w:cs="Arial"/>
          <w:sz w:val="22"/>
          <w:szCs w:val="22"/>
        </w:rPr>
        <w:t xml:space="preserve"> reputation for delivering quality outcomes, Teladoc </w:t>
      </w:r>
      <w:r w:rsidR="00436D14">
        <w:rPr>
          <w:rFonts w:ascii="Arial" w:eastAsia="Arial" w:hAnsi="Arial" w:cs="Arial"/>
          <w:sz w:val="22"/>
          <w:szCs w:val="22"/>
        </w:rPr>
        <w:t xml:space="preserve">is </w:t>
      </w:r>
      <w:r w:rsidR="00C520EB">
        <w:rPr>
          <w:rFonts w:ascii="Arial" w:eastAsia="Arial" w:hAnsi="Arial" w:cs="Arial"/>
          <w:sz w:val="22"/>
          <w:szCs w:val="22"/>
        </w:rPr>
        <w:t>prepared</w:t>
      </w:r>
      <w:r w:rsidR="00130510">
        <w:rPr>
          <w:rFonts w:ascii="Arial" w:eastAsia="Arial" w:hAnsi="Arial" w:cs="Arial"/>
          <w:sz w:val="22"/>
          <w:szCs w:val="22"/>
        </w:rPr>
        <w:t xml:space="preserve"> to deliver on its vision to provide a central, trusted source for patients to get resolution to their healthcare needs.</w:t>
      </w:r>
    </w:p>
    <w:p w14:paraId="7B649F31" w14:textId="77777777" w:rsidR="00E455FC" w:rsidRPr="00E455FC" w:rsidRDefault="00E455FC" w:rsidP="00E455FC">
      <w:pPr>
        <w:shd w:val="clear" w:color="auto" w:fill="FFFFFF"/>
        <w:rPr>
          <w:rFonts w:ascii="Arial" w:eastAsia="Arial" w:hAnsi="Arial" w:cs="Arial"/>
          <w:sz w:val="22"/>
          <w:szCs w:val="22"/>
        </w:rPr>
      </w:pPr>
      <w:r w:rsidRPr="00E455FC">
        <w:rPr>
          <w:rFonts w:ascii="Arial" w:eastAsia="Arial" w:hAnsi="Arial" w:cs="Arial"/>
          <w:sz w:val="22"/>
          <w:szCs w:val="22"/>
        </w:rPr>
        <w:t> </w:t>
      </w:r>
    </w:p>
    <w:p w14:paraId="073F6D23" w14:textId="4E820B4A" w:rsidR="00E455FC" w:rsidRPr="00E455FC" w:rsidRDefault="00E455FC" w:rsidP="00E455FC">
      <w:pPr>
        <w:shd w:val="clear" w:color="auto" w:fill="FFFFFF"/>
        <w:rPr>
          <w:rFonts w:ascii="Arial" w:eastAsia="Arial" w:hAnsi="Arial" w:cs="Arial"/>
          <w:sz w:val="22"/>
          <w:szCs w:val="22"/>
        </w:rPr>
      </w:pPr>
      <w:r w:rsidRPr="00E455FC">
        <w:rPr>
          <w:rFonts w:ascii="Arial" w:eastAsia="Arial" w:hAnsi="Arial" w:cs="Arial"/>
          <w:sz w:val="22"/>
          <w:szCs w:val="22"/>
        </w:rPr>
        <w:t xml:space="preserve">“Today we </w:t>
      </w:r>
      <w:r w:rsidR="0046394E">
        <w:rPr>
          <w:rFonts w:ascii="Arial" w:eastAsia="Arial" w:hAnsi="Arial" w:cs="Arial"/>
          <w:sz w:val="22"/>
          <w:szCs w:val="22"/>
        </w:rPr>
        <w:t xml:space="preserve">take a </w:t>
      </w:r>
      <w:r w:rsidR="000E5C3D">
        <w:rPr>
          <w:rFonts w:ascii="Arial" w:eastAsia="Arial" w:hAnsi="Arial" w:cs="Arial"/>
          <w:sz w:val="22"/>
          <w:szCs w:val="22"/>
        </w:rPr>
        <w:t xml:space="preserve">tremendous </w:t>
      </w:r>
      <w:r w:rsidR="0046394E">
        <w:rPr>
          <w:rFonts w:ascii="Arial" w:eastAsia="Arial" w:hAnsi="Arial" w:cs="Arial"/>
          <w:sz w:val="22"/>
          <w:szCs w:val="22"/>
        </w:rPr>
        <w:t xml:space="preserve">step forward as we continue </w:t>
      </w:r>
      <w:r w:rsidR="00130510">
        <w:rPr>
          <w:rFonts w:ascii="Arial" w:eastAsia="Arial" w:hAnsi="Arial" w:cs="Arial"/>
          <w:sz w:val="22"/>
          <w:szCs w:val="22"/>
        </w:rPr>
        <w:t xml:space="preserve">to </w:t>
      </w:r>
      <w:r w:rsidRPr="00E455FC">
        <w:rPr>
          <w:rFonts w:ascii="Arial" w:eastAsia="Arial" w:hAnsi="Arial" w:cs="Arial"/>
          <w:sz w:val="22"/>
          <w:szCs w:val="22"/>
        </w:rPr>
        <w:t>deliver on our promise to transform the healthcare experience</w:t>
      </w:r>
      <w:r w:rsidR="00BB7810">
        <w:rPr>
          <w:rFonts w:ascii="Arial" w:eastAsia="Arial" w:hAnsi="Arial" w:cs="Arial"/>
          <w:sz w:val="22"/>
          <w:szCs w:val="22"/>
        </w:rPr>
        <w:t>; to provide</w:t>
      </w:r>
      <w:r w:rsidR="00130510">
        <w:rPr>
          <w:rFonts w:ascii="Arial" w:eastAsia="Arial" w:hAnsi="Arial" w:cs="Arial"/>
          <w:sz w:val="22"/>
          <w:szCs w:val="22"/>
        </w:rPr>
        <w:t xml:space="preserve"> </w:t>
      </w:r>
      <w:r w:rsidR="00BB7810">
        <w:rPr>
          <w:rFonts w:ascii="Arial" w:eastAsia="Arial" w:hAnsi="Arial" w:cs="Arial"/>
          <w:sz w:val="22"/>
          <w:szCs w:val="22"/>
        </w:rPr>
        <w:t xml:space="preserve">an </w:t>
      </w:r>
      <w:r w:rsidR="00130510">
        <w:rPr>
          <w:rFonts w:ascii="Arial" w:eastAsia="Arial" w:hAnsi="Arial" w:cs="Arial"/>
          <w:sz w:val="22"/>
          <w:szCs w:val="22"/>
        </w:rPr>
        <w:t xml:space="preserve">unprecedented, single-point of access for resolution to the widest </w:t>
      </w:r>
      <w:r w:rsidR="00BB7810">
        <w:rPr>
          <w:rFonts w:ascii="Arial" w:eastAsia="Arial" w:hAnsi="Arial" w:cs="Arial"/>
          <w:sz w:val="22"/>
          <w:szCs w:val="22"/>
        </w:rPr>
        <w:t xml:space="preserve">spectrum of medical conditions, delivered </w:t>
      </w:r>
      <w:r w:rsidR="00C520EB">
        <w:rPr>
          <w:rFonts w:ascii="Arial" w:eastAsia="Arial" w:hAnsi="Arial" w:cs="Arial"/>
          <w:sz w:val="22"/>
          <w:szCs w:val="22"/>
        </w:rPr>
        <w:t>via a virtual platform</w:t>
      </w:r>
      <w:r w:rsidR="00BB7810">
        <w:rPr>
          <w:rFonts w:ascii="Arial" w:eastAsia="Arial" w:hAnsi="Arial" w:cs="Arial"/>
          <w:sz w:val="22"/>
          <w:szCs w:val="22"/>
        </w:rPr>
        <w:t xml:space="preserve">,” </w:t>
      </w:r>
      <w:r w:rsidR="00BB7810" w:rsidRPr="00BB7810">
        <w:rPr>
          <w:rFonts w:ascii="Arial" w:eastAsia="Arial" w:hAnsi="Arial" w:cs="Arial"/>
          <w:sz w:val="22"/>
          <w:szCs w:val="22"/>
        </w:rPr>
        <w:t>said Teladoc CEO, Jason Gorevic. </w:t>
      </w:r>
      <w:r w:rsidR="00BB7810">
        <w:rPr>
          <w:rFonts w:ascii="Arial" w:eastAsia="Arial" w:hAnsi="Arial" w:cs="Arial"/>
          <w:sz w:val="22"/>
          <w:szCs w:val="22"/>
        </w:rPr>
        <w:t>“</w:t>
      </w:r>
      <w:r w:rsidR="00A53E00">
        <w:rPr>
          <w:rFonts w:ascii="Arial" w:eastAsia="Arial" w:hAnsi="Arial" w:cs="Arial"/>
          <w:sz w:val="22"/>
          <w:szCs w:val="22"/>
        </w:rPr>
        <w:t xml:space="preserve">We look forward to </w:t>
      </w:r>
      <w:r w:rsidR="00CE1D27">
        <w:rPr>
          <w:rFonts w:ascii="Arial" w:eastAsia="Arial" w:hAnsi="Arial" w:cs="Arial"/>
          <w:sz w:val="22"/>
          <w:szCs w:val="22"/>
        </w:rPr>
        <w:t xml:space="preserve">the </w:t>
      </w:r>
      <w:r w:rsidR="00A53E00">
        <w:rPr>
          <w:rFonts w:ascii="Arial" w:eastAsia="Arial" w:hAnsi="Arial" w:cs="Arial"/>
          <w:sz w:val="22"/>
          <w:szCs w:val="22"/>
        </w:rPr>
        <w:t xml:space="preserve">impact that we can make as one company, and </w:t>
      </w:r>
      <w:r w:rsidR="0020441C">
        <w:rPr>
          <w:rFonts w:ascii="Arial" w:eastAsia="Arial" w:hAnsi="Arial" w:cs="Arial"/>
          <w:sz w:val="22"/>
          <w:szCs w:val="22"/>
        </w:rPr>
        <w:t xml:space="preserve">are excited to lead </w:t>
      </w:r>
      <w:r w:rsidR="00A53E00">
        <w:rPr>
          <w:rFonts w:ascii="Arial" w:eastAsia="Arial" w:hAnsi="Arial" w:cs="Arial"/>
          <w:sz w:val="22"/>
          <w:szCs w:val="22"/>
        </w:rPr>
        <w:t xml:space="preserve">our members and the greater healthcare community </w:t>
      </w:r>
      <w:r w:rsidR="0020441C">
        <w:rPr>
          <w:rFonts w:ascii="Arial" w:eastAsia="Arial" w:hAnsi="Arial" w:cs="Arial"/>
          <w:sz w:val="22"/>
          <w:szCs w:val="22"/>
        </w:rPr>
        <w:t>on</w:t>
      </w:r>
      <w:r w:rsidR="00A53E00">
        <w:rPr>
          <w:rFonts w:ascii="Arial" w:eastAsia="Arial" w:hAnsi="Arial" w:cs="Arial"/>
          <w:sz w:val="22"/>
          <w:szCs w:val="22"/>
        </w:rPr>
        <w:t xml:space="preserve"> the journey ahead.”  </w:t>
      </w:r>
    </w:p>
    <w:p w14:paraId="274A7C5B" w14:textId="77777777" w:rsidR="00E455FC" w:rsidRPr="00E455FC" w:rsidRDefault="00E455FC" w:rsidP="00E455FC">
      <w:pPr>
        <w:shd w:val="clear" w:color="auto" w:fill="FFFFFF"/>
        <w:rPr>
          <w:rFonts w:ascii="Arial" w:eastAsia="Arial" w:hAnsi="Arial" w:cs="Arial"/>
          <w:sz w:val="22"/>
          <w:szCs w:val="22"/>
        </w:rPr>
      </w:pPr>
      <w:r w:rsidRPr="00E455FC">
        <w:rPr>
          <w:rFonts w:ascii="Arial" w:eastAsia="Arial" w:hAnsi="Arial" w:cs="Arial"/>
          <w:sz w:val="22"/>
          <w:szCs w:val="22"/>
        </w:rPr>
        <w:t> </w:t>
      </w:r>
    </w:p>
    <w:p w14:paraId="6249D014" w14:textId="3177FD72" w:rsidR="00CE1D27" w:rsidRPr="00CE1D27" w:rsidRDefault="00A53E00" w:rsidP="00CE1D27">
      <w:pPr>
        <w:shd w:val="clear" w:color="auto" w:fill="FFFFFF"/>
        <w:rPr>
          <w:rFonts w:ascii="Arial" w:eastAsia="Arial" w:hAnsi="Arial" w:cs="Arial"/>
          <w:sz w:val="22"/>
          <w:szCs w:val="22"/>
        </w:rPr>
      </w:pPr>
      <w:r w:rsidRPr="00A53E00">
        <w:rPr>
          <w:rFonts w:ascii="Arial" w:eastAsia="Arial" w:hAnsi="Arial" w:cs="Arial"/>
          <w:sz w:val="22"/>
          <w:szCs w:val="22"/>
        </w:rPr>
        <w:t>Teladoc will marry its award-winning technology, industry-leading engagement capabilities, and robust, scalable platform with Best Doctors’ world-renow</w:t>
      </w:r>
      <w:r w:rsidR="00C520EB">
        <w:rPr>
          <w:rFonts w:ascii="Arial" w:eastAsia="Arial" w:hAnsi="Arial" w:cs="Arial"/>
          <w:sz w:val="22"/>
          <w:szCs w:val="22"/>
        </w:rPr>
        <w:t xml:space="preserve">ned network of medical experts </w:t>
      </w:r>
      <w:r w:rsidRPr="00A53E00">
        <w:rPr>
          <w:rFonts w:ascii="Arial" w:eastAsia="Arial" w:hAnsi="Arial" w:cs="Arial"/>
          <w:sz w:val="22"/>
          <w:szCs w:val="22"/>
        </w:rPr>
        <w:t xml:space="preserve">across 450 specialties. </w:t>
      </w:r>
      <w:r w:rsidR="00E455FC" w:rsidRPr="00E455FC">
        <w:rPr>
          <w:rFonts w:ascii="Arial" w:eastAsia="Arial" w:hAnsi="Arial" w:cs="Arial"/>
          <w:sz w:val="22"/>
          <w:szCs w:val="22"/>
        </w:rPr>
        <w:t>As a Teladoc company, Best Doctors will maintain its trusted brand identity and continue to</w:t>
      </w:r>
      <w:r>
        <w:rPr>
          <w:rFonts w:ascii="Arial" w:eastAsia="Arial" w:hAnsi="Arial" w:cs="Arial"/>
          <w:sz w:val="22"/>
          <w:szCs w:val="22"/>
        </w:rPr>
        <w:t xml:space="preserve"> redefine</w:t>
      </w:r>
      <w:r w:rsidRPr="00A53E00">
        <w:rPr>
          <w:rFonts w:ascii="Arial" w:eastAsia="Arial" w:hAnsi="Arial" w:cs="Arial"/>
          <w:sz w:val="22"/>
          <w:szCs w:val="22"/>
        </w:rPr>
        <w:t xml:space="preserve"> the standard for high acuity, complex care cases with a patient-centric clinical model</w:t>
      </w:r>
      <w:r w:rsidR="00CE1D27">
        <w:rPr>
          <w:rFonts w:ascii="Arial" w:eastAsia="Arial" w:hAnsi="Arial" w:cs="Arial"/>
          <w:sz w:val="22"/>
          <w:szCs w:val="22"/>
        </w:rPr>
        <w:t xml:space="preserve"> using</w:t>
      </w:r>
      <w:r>
        <w:rPr>
          <w:rFonts w:ascii="Arial" w:eastAsia="Arial" w:hAnsi="Arial" w:cs="Arial"/>
          <w:sz w:val="22"/>
          <w:szCs w:val="22"/>
        </w:rPr>
        <w:t xml:space="preserve"> </w:t>
      </w:r>
      <w:r w:rsidR="00CE1D27">
        <w:rPr>
          <w:rFonts w:ascii="Arial" w:eastAsia="Arial" w:hAnsi="Arial" w:cs="Arial"/>
          <w:sz w:val="22"/>
          <w:szCs w:val="22"/>
        </w:rPr>
        <w:t>analytics expertise and patient decision-support</w:t>
      </w:r>
      <w:r>
        <w:rPr>
          <w:rFonts w:ascii="Arial" w:eastAsia="Arial" w:hAnsi="Arial" w:cs="Arial"/>
          <w:sz w:val="22"/>
          <w:szCs w:val="22"/>
        </w:rPr>
        <w:t xml:space="preserve">. </w:t>
      </w:r>
      <w:r w:rsidR="00E455FC" w:rsidRPr="00E455FC">
        <w:rPr>
          <w:rFonts w:ascii="Arial" w:eastAsia="Arial" w:hAnsi="Arial" w:cs="Arial"/>
          <w:sz w:val="22"/>
          <w:szCs w:val="22"/>
        </w:rPr>
        <w:t xml:space="preserve">These combined </w:t>
      </w:r>
      <w:r w:rsidR="00EB264E">
        <w:rPr>
          <w:rFonts w:ascii="Arial" w:eastAsia="Arial" w:hAnsi="Arial" w:cs="Arial"/>
          <w:sz w:val="22"/>
          <w:szCs w:val="22"/>
        </w:rPr>
        <w:t>c</w:t>
      </w:r>
      <w:r w:rsidR="00E455FC" w:rsidRPr="00E455FC">
        <w:rPr>
          <w:rFonts w:ascii="Arial" w:eastAsia="Arial" w:hAnsi="Arial" w:cs="Arial"/>
          <w:sz w:val="22"/>
          <w:szCs w:val="22"/>
        </w:rPr>
        <w:t xml:space="preserve">apabilities </w:t>
      </w:r>
      <w:r w:rsidR="00C520EB">
        <w:rPr>
          <w:rFonts w:ascii="Arial" w:eastAsia="Arial" w:hAnsi="Arial" w:cs="Arial"/>
          <w:sz w:val="22"/>
          <w:szCs w:val="22"/>
        </w:rPr>
        <w:t xml:space="preserve">will </w:t>
      </w:r>
      <w:r w:rsidR="0046394E">
        <w:rPr>
          <w:rFonts w:ascii="Arial" w:eastAsia="Arial" w:hAnsi="Arial" w:cs="Arial"/>
          <w:sz w:val="22"/>
          <w:szCs w:val="22"/>
        </w:rPr>
        <w:t>provide</w:t>
      </w:r>
      <w:r w:rsidR="00E455FC" w:rsidRPr="00E455FC">
        <w:rPr>
          <w:rFonts w:ascii="Arial" w:eastAsia="Arial" w:hAnsi="Arial" w:cs="Arial"/>
          <w:sz w:val="22"/>
          <w:szCs w:val="22"/>
        </w:rPr>
        <w:t xml:space="preserve"> </w:t>
      </w:r>
      <w:r w:rsidR="00CE1D27">
        <w:rPr>
          <w:rFonts w:ascii="Arial" w:eastAsia="Arial" w:hAnsi="Arial" w:cs="Arial"/>
          <w:sz w:val="22"/>
          <w:szCs w:val="22"/>
        </w:rPr>
        <w:t xml:space="preserve">employers, health plans and </w:t>
      </w:r>
      <w:r w:rsidR="00E455FC" w:rsidRPr="00E455FC">
        <w:rPr>
          <w:rFonts w:ascii="Arial" w:eastAsia="Arial" w:hAnsi="Arial" w:cs="Arial"/>
          <w:sz w:val="22"/>
          <w:szCs w:val="22"/>
        </w:rPr>
        <w:t>health systems</w:t>
      </w:r>
      <w:r w:rsidR="00CE1D27">
        <w:rPr>
          <w:rFonts w:ascii="Arial" w:eastAsia="Arial" w:hAnsi="Arial" w:cs="Arial"/>
          <w:sz w:val="22"/>
          <w:szCs w:val="22"/>
        </w:rPr>
        <w:t xml:space="preserve"> </w:t>
      </w:r>
      <w:r w:rsidR="0046394E">
        <w:rPr>
          <w:rFonts w:ascii="Arial" w:eastAsia="Arial" w:hAnsi="Arial" w:cs="Arial"/>
          <w:sz w:val="22"/>
          <w:szCs w:val="22"/>
        </w:rPr>
        <w:t xml:space="preserve">with a comprehensive solution for </w:t>
      </w:r>
      <w:r w:rsidR="00175EEE">
        <w:rPr>
          <w:rFonts w:ascii="Arial" w:eastAsia="Arial" w:hAnsi="Arial" w:cs="Arial"/>
          <w:sz w:val="22"/>
          <w:szCs w:val="22"/>
        </w:rPr>
        <w:t>pa</w:t>
      </w:r>
      <w:r w:rsidR="00CE1D27" w:rsidRPr="00CE1D27">
        <w:rPr>
          <w:rFonts w:ascii="Arial" w:eastAsia="Arial" w:hAnsi="Arial" w:cs="Arial"/>
          <w:sz w:val="22"/>
          <w:szCs w:val="22"/>
        </w:rPr>
        <w:t xml:space="preserve">tients </w:t>
      </w:r>
      <w:r w:rsidR="0046394E">
        <w:rPr>
          <w:rFonts w:ascii="Arial" w:eastAsia="Arial" w:hAnsi="Arial" w:cs="Arial"/>
          <w:sz w:val="22"/>
          <w:szCs w:val="22"/>
        </w:rPr>
        <w:t>to seek r</w:t>
      </w:r>
      <w:r w:rsidR="00CE1D27" w:rsidRPr="00CE1D27">
        <w:rPr>
          <w:rFonts w:ascii="Arial" w:eastAsia="Arial" w:hAnsi="Arial" w:cs="Arial"/>
          <w:sz w:val="22"/>
          <w:szCs w:val="22"/>
        </w:rPr>
        <w:t>esolution for everything from a child’s fever, to personal anxiety, to a parent’s heart condition</w:t>
      </w:r>
      <w:r w:rsidR="00CE1D27">
        <w:rPr>
          <w:rFonts w:ascii="Arial" w:eastAsia="Arial" w:hAnsi="Arial" w:cs="Arial"/>
          <w:sz w:val="22"/>
          <w:szCs w:val="22"/>
        </w:rPr>
        <w:t xml:space="preserve">, with </w:t>
      </w:r>
      <w:r w:rsidR="0046394E">
        <w:rPr>
          <w:rFonts w:ascii="Arial" w:eastAsia="Arial" w:hAnsi="Arial" w:cs="Arial"/>
          <w:sz w:val="22"/>
          <w:szCs w:val="22"/>
        </w:rPr>
        <w:t xml:space="preserve">convenient </w:t>
      </w:r>
      <w:r w:rsidR="00CE1D27">
        <w:rPr>
          <w:rFonts w:ascii="Arial" w:eastAsia="Arial" w:hAnsi="Arial" w:cs="Arial"/>
          <w:sz w:val="22"/>
          <w:szCs w:val="22"/>
        </w:rPr>
        <w:t>access</w:t>
      </w:r>
      <w:r w:rsidR="00CE1D27" w:rsidRPr="00CE1D27">
        <w:rPr>
          <w:rFonts w:ascii="Arial" w:eastAsia="Arial" w:hAnsi="Arial" w:cs="Arial"/>
          <w:sz w:val="22"/>
          <w:szCs w:val="22"/>
        </w:rPr>
        <w:t xml:space="preserve"> in the U.S. and around the globe. </w:t>
      </w:r>
    </w:p>
    <w:p w14:paraId="3C381CFF" w14:textId="77777777" w:rsidR="00E455FC" w:rsidRPr="00E455FC" w:rsidRDefault="00E455FC" w:rsidP="00E455FC">
      <w:pPr>
        <w:shd w:val="clear" w:color="auto" w:fill="FFFFFF"/>
        <w:rPr>
          <w:rFonts w:ascii="Arial" w:eastAsia="Arial" w:hAnsi="Arial" w:cs="Arial"/>
          <w:sz w:val="22"/>
          <w:szCs w:val="22"/>
        </w:rPr>
      </w:pPr>
      <w:r w:rsidRPr="00E455FC">
        <w:rPr>
          <w:rFonts w:ascii="Arial" w:eastAsia="Arial" w:hAnsi="Arial" w:cs="Arial"/>
          <w:sz w:val="22"/>
          <w:szCs w:val="22"/>
        </w:rPr>
        <w:t> </w:t>
      </w:r>
    </w:p>
    <w:p w14:paraId="55E9EA9A" w14:textId="6DF7EC46" w:rsidR="00E73FC3" w:rsidRDefault="00E323C4" w:rsidP="00CE1D27">
      <w:pPr>
        <w:shd w:val="clear" w:color="auto" w:fill="FFFFFF"/>
        <w:rPr>
          <w:rFonts w:ascii="Arial" w:eastAsia="Arial" w:hAnsi="Arial" w:cs="Arial"/>
          <w:sz w:val="22"/>
          <w:szCs w:val="22"/>
        </w:rPr>
      </w:pPr>
      <w:r>
        <w:rPr>
          <w:rFonts w:ascii="Arial" w:eastAsia="Arial" w:hAnsi="Arial" w:cs="Arial"/>
          <w:sz w:val="22"/>
          <w:szCs w:val="22"/>
        </w:rPr>
        <w:t>Pursuant to the definitive agreement a</w:t>
      </w:r>
      <w:r w:rsidR="00CE1D27">
        <w:rPr>
          <w:rFonts w:ascii="Arial" w:eastAsia="Arial" w:hAnsi="Arial" w:cs="Arial"/>
          <w:sz w:val="22"/>
          <w:szCs w:val="22"/>
        </w:rPr>
        <w:t xml:space="preserve">nnounced on June 19, 2017, </w:t>
      </w:r>
      <w:r w:rsidR="0042265B">
        <w:rPr>
          <w:rFonts w:ascii="Arial" w:eastAsia="Arial" w:hAnsi="Arial" w:cs="Arial"/>
          <w:sz w:val="22"/>
          <w:szCs w:val="22"/>
        </w:rPr>
        <w:t xml:space="preserve">Best Doctors shareholders will receive </w:t>
      </w:r>
      <w:r w:rsidR="00CE1D27">
        <w:rPr>
          <w:rFonts w:ascii="Arial" w:eastAsia="Arial" w:hAnsi="Arial" w:cs="Arial"/>
          <w:sz w:val="22"/>
          <w:szCs w:val="22"/>
        </w:rPr>
        <w:t>$</w:t>
      </w:r>
      <w:r w:rsidR="00E73FC3" w:rsidRPr="00E73FC3">
        <w:rPr>
          <w:rFonts w:ascii="Arial" w:eastAsia="Arial" w:hAnsi="Arial" w:cs="Arial"/>
          <w:sz w:val="22"/>
          <w:szCs w:val="22"/>
        </w:rPr>
        <w:t xml:space="preserve">375 million in cash and </w:t>
      </w:r>
      <w:r>
        <w:rPr>
          <w:rFonts w:ascii="Arial" w:eastAsia="Arial" w:hAnsi="Arial" w:cs="Arial"/>
          <w:sz w:val="22"/>
          <w:szCs w:val="22"/>
        </w:rPr>
        <w:t xml:space="preserve">$65 million in Teladoc common stock </w:t>
      </w:r>
      <w:r w:rsidR="0028122A">
        <w:rPr>
          <w:rFonts w:ascii="Arial" w:eastAsia="Arial" w:hAnsi="Arial" w:cs="Arial"/>
          <w:sz w:val="22"/>
          <w:szCs w:val="22"/>
        </w:rPr>
        <w:t>from</w:t>
      </w:r>
      <w:r>
        <w:rPr>
          <w:rFonts w:ascii="Arial" w:eastAsia="Arial" w:hAnsi="Arial" w:cs="Arial"/>
          <w:sz w:val="22"/>
          <w:szCs w:val="22"/>
        </w:rPr>
        <w:t xml:space="preserve"> </w:t>
      </w:r>
      <w:r w:rsidR="0042265B">
        <w:rPr>
          <w:rFonts w:ascii="Arial" w:eastAsia="Arial" w:hAnsi="Arial" w:cs="Arial"/>
          <w:sz w:val="22"/>
          <w:szCs w:val="22"/>
        </w:rPr>
        <w:t xml:space="preserve">the issuance of </w:t>
      </w:r>
      <w:r w:rsidR="00E06C7C">
        <w:rPr>
          <w:rFonts w:ascii="Arial" w:eastAsia="Arial" w:hAnsi="Arial" w:cs="Arial"/>
          <w:sz w:val="22"/>
          <w:szCs w:val="22"/>
        </w:rPr>
        <w:t>approximately</w:t>
      </w:r>
      <w:r w:rsidR="00AA4B9D">
        <w:rPr>
          <w:rFonts w:ascii="Arial" w:eastAsia="Arial" w:hAnsi="Arial" w:cs="Arial"/>
          <w:sz w:val="22"/>
          <w:szCs w:val="22"/>
        </w:rPr>
        <w:t xml:space="preserve"> </w:t>
      </w:r>
      <w:r w:rsidR="0028122A">
        <w:rPr>
          <w:rFonts w:ascii="Arial" w:eastAsia="Arial" w:hAnsi="Arial" w:cs="Arial"/>
          <w:sz w:val="22"/>
          <w:szCs w:val="22"/>
        </w:rPr>
        <w:t>1.9</w:t>
      </w:r>
      <w:r w:rsidR="00E73FC3" w:rsidRPr="00E73FC3">
        <w:rPr>
          <w:rFonts w:ascii="Arial" w:eastAsia="Arial" w:hAnsi="Arial" w:cs="Arial"/>
          <w:sz w:val="22"/>
          <w:szCs w:val="22"/>
        </w:rPr>
        <w:t xml:space="preserve"> million shares</w:t>
      </w:r>
      <w:r w:rsidR="00CE1D27">
        <w:rPr>
          <w:rFonts w:ascii="Arial" w:eastAsia="Arial" w:hAnsi="Arial" w:cs="Arial"/>
          <w:sz w:val="22"/>
          <w:szCs w:val="22"/>
        </w:rPr>
        <w:t xml:space="preserve">. </w:t>
      </w:r>
      <w:r w:rsidR="008E3C95" w:rsidRPr="008E3C95">
        <w:rPr>
          <w:rFonts w:ascii="Arial" w:eastAsia="Arial" w:hAnsi="Arial" w:cs="Arial"/>
          <w:sz w:val="22"/>
          <w:szCs w:val="22"/>
        </w:rPr>
        <w:t>The Company had approximately 62.9 million shares outstanding as of J</w:t>
      </w:r>
      <w:r w:rsidR="00A45ED3">
        <w:rPr>
          <w:rFonts w:ascii="Arial" w:eastAsia="Arial" w:hAnsi="Arial" w:cs="Arial"/>
          <w:sz w:val="22"/>
          <w:szCs w:val="22"/>
        </w:rPr>
        <w:t xml:space="preserve">une 30, 2017, and approximately </w:t>
      </w:r>
      <w:r w:rsidR="008E3C95" w:rsidRPr="008E3C95">
        <w:rPr>
          <w:rFonts w:ascii="Arial" w:eastAsia="Arial" w:hAnsi="Arial" w:cs="Arial"/>
          <w:sz w:val="22"/>
          <w:szCs w:val="22"/>
        </w:rPr>
        <w:t>64.</w:t>
      </w:r>
      <w:r w:rsidR="00CD0FD4">
        <w:rPr>
          <w:rFonts w:ascii="Arial" w:eastAsia="Arial" w:hAnsi="Arial" w:cs="Arial"/>
          <w:sz w:val="22"/>
          <w:szCs w:val="22"/>
        </w:rPr>
        <w:t>8</w:t>
      </w:r>
      <w:r w:rsidR="00A45ED3">
        <w:rPr>
          <w:rFonts w:ascii="Arial" w:eastAsia="Arial" w:hAnsi="Arial" w:cs="Arial"/>
          <w:sz w:val="22"/>
          <w:szCs w:val="22"/>
        </w:rPr>
        <w:t xml:space="preserve"> </w:t>
      </w:r>
      <w:r w:rsidR="008E3C95" w:rsidRPr="008E3C95">
        <w:rPr>
          <w:rFonts w:ascii="Arial" w:eastAsia="Arial" w:hAnsi="Arial" w:cs="Arial"/>
          <w:sz w:val="22"/>
          <w:szCs w:val="22"/>
        </w:rPr>
        <w:t>million shares outstanding as of July 14,</w:t>
      </w:r>
      <w:r w:rsidR="00A45ED3">
        <w:rPr>
          <w:rFonts w:ascii="Arial" w:eastAsia="Arial" w:hAnsi="Arial" w:cs="Arial"/>
          <w:sz w:val="22"/>
          <w:szCs w:val="22"/>
        </w:rPr>
        <w:t xml:space="preserve"> 2017, reflecting this issuance. </w:t>
      </w:r>
      <w:r w:rsidR="00E73FC3" w:rsidRPr="00E73FC3">
        <w:rPr>
          <w:rFonts w:ascii="Arial" w:eastAsia="Arial" w:hAnsi="Arial" w:cs="Arial"/>
          <w:sz w:val="22"/>
          <w:szCs w:val="22"/>
        </w:rPr>
        <w:t>As previously communicated, Teladoc will update its 2017 annual guidance to reflect the addition of Best Doctors when it reports second quarter 2017 earnings results on August 2, 2017</w:t>
      </w:r>
      <w:r w:rsidR="00CE1D27">
        <w:rPr>
          <w:rFonts w:ascii="Arial" w:eastAsia="Arial" w:hAnsi="Arial" w:cs="Arial"/>
          <w:sz w:val="22"/>
          <w:szCs w:val="22"/>
        </w:rPr>
        <w:t>.</w:t>
      </w:r>
    </w:p>
    <w:p w14:paraId="0E406894" w14:textId="7BB7C7B7" w:rsidR="00CE1D27" w:rsidRDefault="00CE1D27" w:rsidP="00CE1D27">
      <w:pPr>
        <w:shd w:val="clear" w:color="auto" w:fill="FFFFFF"/>
        <w:rPr>
          <w:rFonts w:ascii="Arial" w:eastAsia="Arial" w:hAnsi="Arial" w:cs="Arial"/>
          <w:sz w:val="22"/>
          <w:szCs w:val="22"/>
        </w:rPr>
      </w:pPr>
    </w:p>
    <w:p w14:paraId="33F8FF62" w14:textId="77777777" w:rsidR="00B93F8B" w:rsidRPr="00B93F8B" w:rsidRDefault="00B93F8B" w:rsidP="00B93F8B">
      <w:pPr>
        <w:shd w:val="clear" w:color="auto" w:fill="FFFFFF"/>
        <w:rPr>
          <w:rFonts w:ascii="Arial" w:eastAsia="Arial" w:hAnsi="Arial" w:cs="Arial"/>
          <w:sz w:val="22"/>
          <w:szCs w:val="22"/>
        </w:rPr>
      </w:pPr>
      <w:r w:rsidRPr="00B93F8B">
        <w:rPr>
          <w:rFonts w:ascii="Arial" w:eastAsia="Arial" w:hAnsi="Arial" w:cs="Arial"/>
          <w:sz w:val="22"/>
          <w:szCs w:val="22"/>
        </w:rPr>
        <w:t xml:space="preserve">For more information about how Teladoc is transforming healthcare with Best Doctors, visit </w:t>
      </w:r>
      <w:hyperlink r:id="rId10" w:history="1">
        <w:r w:rsidRPr="00B93F8B">
          <w:rPr>
            <w:rStyle w:val="Hyperlink"/>
            <w:rFonts w:ascii="Arial" w:eastAsia="Arial" w:hAnsi="Arial" w:cs="Arial"/>
            <w:sz w:val="22"/>
            <w:szCs w:val="22"/>
          </w:rPr>
          <w:t>here</w:t>
        </w:r>
      </w:hyperlink>
      <w:r w:rsidRPr="00B93F8B">
        <w:rPr>
          <w:rFonts w:ascii="Arial" w:eastAsia="Arial" w:hAnsi="Arial" w:cs="Arial"/>
          <w:sz w:val="22"/>
          <w:szCs w:val="22"/>
        </w:rPr>
        <w:t>.</w:t>
      </w:r>
    </w:p>
    <w:p w14:paraId="10D30797" w14:textId="77777777" w:rsidR="00B93F8B" w:rsidRDefault="00B93F8B" w:rsidP="00CE1D27">
      <w:pPr>
        <w:shd w:val="clear" w:color="auto" w:fill="FFFFFF"/>
        <w:rPr>
          <w:rFonts w:ascii="Arial" w:eastAsia="Arial" w:hAnsi="Arial" w:cs="Arial"/>
          <w:sz w:val="22"/>
          <w:szCs w:val="22"/>
        </w:rPr>
      </w:pPr>
    </w:p>
    <w:p w14:paraId="5B514367" w14:textId="591208E3" w:rsidR="00C45209" w:rsidRDefault="00C45209" w:rsidP="00CE1D27">
      <w:pPr>
        <w:shd w:val="clear" w:color="auto" w:fill="FFFFFF"/>
        <w:rPr>
          <w:rFonts w:ascii="Arial" w:eastAsia="Arial" w:hAnsi="Arial" w:cs="Arial"/>
          <w:sz w:val="22"/>
          <w:szCs w:val="22"/>
        </w:rPr>
      </w:pPr>
      <w:r>
        <w:rPr>
          <w:rFonts w:ascii="Arial" w:eastAsia="Arial" w:hAnsi="Arial" w:cs="Arial"/>
          <w:sz w:val="22"/>
          <w:szCs w:val="22"/>
        </w:rPr>
        <w:t xml:space="preserve">In connection with the acquisition of Best Doctors, and effective as of the closing date, Teladoc granted to six employees of Best Doctors, and one new employee of Teladoc, stock option awards covering an aggregate 400,789 shares of Teladoc common stock and restricted stock unit awards covering 191,176 shares of Teladoc common stock. The stock option awards each have an exercise </w:t>
      </w:r>
      <w:r w:rsidRPr="00EB264E">
        <w:rPr>
          <w:rFonts w:ascii="Arial" w:eastAsia="Arial" w:hAnsi="Arial" w:cs="Arial"/>
          <w:sz w:val="22"/>
          <w:szCs w:val="22"/>
        </w:rPr>
        <w:t xml:space="preserve">price of </w:t>
      </w:r>
      <w:r w:rsidR="00CD0FD4" w:rsidRPr="00EB264E">
        <w:rPr>
          <w:rFonts w:ascii="Arial" w:eastAsia="Arial" w:hAnsi="Arial" w:cs="Arial"/>
          <w:sz w:val="22"/>
          <w:szCs w:val="22"/>
        </w:rPr>
        <w:t>35.45</w:t>
      </w:r>
      <w:r w:rsidRPr="00EB264E">
        <w:rPr>
          <w:rFonts w:ascii="Arial" w:eastAsia="Arial" w:hAnsi="Arial" w:cs="Arial"/>
          <w:sz w:val="22"/>
          <w:szCs w:val="22"/>
        </w:rPr>
        <w:t>. These</w:t>
      </w:r>
      <w:r w:rsidRPr="00C45209">
        <w:rPr>
          <w:rFonts w:ascii="Arial" w:eastAsia="Arial" w:hAnsi="Arial" w:cs="Arial"/>
          <w:sz w:val="22"/>
          <w:szCs w:val="22"/>
        </w:rPr>
        <w:t xml:space="preserve"> awards include a grant to Peter McClennen of a stock option award covering 123,320 shares of Teladoc common stock and a restricted stock unit </w:t>
      </w:r>
      <w:r w:rsidRPr="00C45209">
        <w:rPr>
          <w:rFonts w:ascii="Arial" w:eastAsia="Arial" w:hAnsi="Arial" w:cs="Arial"/>
          <w:sz w:val="22"/>
          <w:szCs w:val="22"/>
        </w:rPr>
        <w:lastRenderedPageBreak/>
        <w:t>award covering 58,824 shares of Teladoc common stock</w:t>
      </w:r>
      <w:r>
        <w:rPr>
          <w:rFonts w:ascii="Arial" w:eastAsia="Arial" w:hAnsi="Arial" w:cs="Arial"/>
          <w:sz w:val="22"/>
          <w:szCs w:val="22"/>
        </w:rPr>
        <w:t xml:space="preserve">. The other recipients of these equity awards are Lewis Levy, John McClean, Kelly Bliss, Suzanne Leary, David Harrison and David Schloss. </w:t>
      </w:r>
      <w:r w:rsidRPr="00C45209">
        <w:rPr>
          <w:rFonts w:ascii="Arial" w:eastAsia="Arial" w:hAnsi="Arial" w:cs="Arial"/>
          <w:sz w:val="22"/>
          <w:szCs w:val="22"/>
        </w:rPr>
        <w:t>These equity awards will generally vest based on continued service to Teladoc over the four years following the date of grant</w:t>
      </w:r>
      <w:r w:rsidR="00CD0FD4">
        <w:rPr>
          <w:rFonts w:ascii="Arial" w:eastAsia="Arial" w:hAnsi="Arial" w:cs="Arial"/>
          <w:sz w:val="22"/>
          <w:szCs w:val="22"/>
        </w:rPr>
        <w:t xml:space="preserve">, </w:t>
      </w:r>
      <w:r w:rsidR="00CD0FD4" w:rsidRPr="00CD0FD4">
        <w:rPr>
          <w:rFonts w:ascii="Arial" w:eastAsia="Arial" w:hAnsi="Arial" w:cs="Arial"/>
          <w:sz w:val="22"/>
          <w:szCs w:val="22"/>
        </w:rPr>
        <w:t>except for Mr. McClennen’s awards, which vest in two equal annual installments following the date of grant</w:t>
      </w:r>
      <w:r w:rsidRPr="00C45209">
        <w:rPr>
          <w:rFonts w:ascii="Arial" w:eastAsia="Arial" w:hAnsi="Arial" w:cs="Arial"/>
          <w:sz w:val="22"/>
          <w:szCs w:val="22"/>
        </w:rPr>
        <w:t>. The stock option and restricted stock unit awards were approved by the Compensation Committee of the Board of Directors of Teladoc and were granted under the Teladoc, Inc. 2017 Employment Inducement Incentive Award Plan as employment inducement awards pursuant to NYSE rules.</w:t>
      </w:r>
      <w:r>
        <w:rPr>
          <w:rFonts w:ascii="Arial" w:eastAsia="Arial" w:hAnsi="Arial" w:cs="Arial"/>
          <w:sz w:val="22"/>
          <w:szCs w:val="22"/>
        </w:rPr>
        <w:t xml:space="preserve"> </w:t>
      </w:r>
    </w:p>
    <w:p w14:paraId="5793B78F" w14:textId="77777777" w:rsidR="00C45209" w:rsidRDefault="00C45209" w:rsidP="00CE1D27">
      <w:pPr>
        <w:shd w:val="clear" w:color="auto" w:fill="FFFFFF"/>
        <w:rPr>
          <w:rFonts w:ascii="Arial" w:eastAsia="Arial" w:hAnsi="Arial" w:cs="Arial"/>
          <w:sz w:val="22"/>
          <w:szCs w:val="22"/>
        </w:rPr>
      </w:pPr>
    </w:p>
    <w:p w14:paraId="154B2364" w14:textId="4F7BC365" w:rsidR="00E61D0D" w:rsidRDefault="005B5C80">
      <w:pPr>
        <w:shd w:val="clear" w:color="auto" w:fill="FFFFFF"/>
        <w:rPr>
          <w:sz w:val="22"/>
          <w:szCs w:val="22"/>
        </w:rPr>
      </w:pPr>
      <w:r>
        <w:rPr>
          <w:rFonts w:ascii="Arial" w:eastAsia="Arial" w:hAnsi="Arial" w:cs="Arial"/>
          <w:b/>
          <w:bCs/>
          <w:color w:val="333333"/>
          <w:sz w:val="22"/>
          <w:szCs w:val="22"/>
        </w:rPr>
        <w:t>About Teladoc, Inc.</w:t>
      </w:r>
    </w:p>
    <w:p w14:paraId="7E9975DC" w14:textId="26644997" w:rsidR="00E61D0D" w:rsidRDefault="005B5C80">
      <w:pPr>
        <w:shd w:val="clear" w:color="auto" w:fill="FFFFFF"/>
        <w:rPr>
          <w:sz w:val="22"/>
          <w:szCs w:val="22"/>
        </w:rPr>
      </w:pPr>
      <w:r>
        <w:rPr>
          <w:rFonts w:ascii="Arial" w:eastAsia="Arial" w:hAnsi="Arial" w:cs="Arial"/>
          <w:color w:val="333333"/>
          <w:sz w:val="22"/>
          <w:szCs w:val="22"/>
        </w:rPr>
        <w:t>Teladoc, Inc. (NYSE:TDOC) is the nation’s first and largest telehealth platform. Recognized by MIT Technology</w:t>
      </w:r>
      <w:r>
        <w:rPr>
          <w:rFonts w:ascii="Arial" w:eastAsia="Arial" w:hAnsi="Arial" w:cs="Arial"/>
          <w:sz w:val="22"/>
          <w:szCs w:val="22"/>
        </w:rPr>
        <w:t xml:space="preserve"> Review as one of the “50 Smartest Companies,” Teladoc is forging a new healthcare experience with an innovative portfolio of virtual care delivery solutions.  Currently, Teladoc serves </w:t>
      </w:r>
      <w:r w:rsidR="00E81785">
        <w:rPr>
          <w:rFonts w:ascii="Arial" w:eastAsia="Arial" w:hAnsi="Arial" w:cs="Arial"/>
          <w:sz w:val="22"/>
          <w:szCs w:val="22"/>
        </w:rPr>
        <w:t xml:space="preserve">more than </w:t>
      </w:r>
      <w:r>
        <w:rPr>
          <w:rFonts w:ascii="Arial" w:eastAsia="Arial" w:hAnsi="Arial" w:cs="Arial"/>
          <w:sz w:val="22"/>
          <w:szCs w:val="22"/>
        </w:rPr>
        <w:t>7,500 clients – from payers to providers to employers – and more than 20 million members who connect within minutes to Te</w:t>
      </w:r>
      <w:r w:rsidR="00B53B2B">
        <w:rPr>
          <w:rFonts w:ascii="Arial" w:eastAsia="Arial" w:hAnsi="Arial" w:cs="Arial"/>
          <w:sz w:val="22"/>
          <w:szCs w:val="22"/>
        </w:rPr>
        <w:t>ladoc’s network of more than 3,1</w:t>
      </w:r>
      <w:r>
        <w:rPr>
          <w:rFonts w:ascii="Arial" w:eastAsia="Arial" w:hAnsi="Arial" w:cs="Arial"/>
          <w:sz w:val="22"/>
          <w:szCs w:val="22"/>
        </w:rPr>
        <w:t xml:space="preserve">00 board-certified, state-licensed physicians and therapists, 24/7. Teladoc’s services and solutions marry a highly engaging consumer experience with the latest in data &amp; analytics, and a highly flexible technology platform. Teladoc has delivered more than 2.5 million medical </w:t>
      </w:r>
      <w:r w:rsidR="00905FC3">
        <w:rPr>
          <w:rFonts w:ascii="Arial" w:eastAsia="Arial" w:hAnsi="Arial" w:cs="Arial"/>
          <w:sz w:val="22"/>
          <w:szCs w:val="22"/>
        </w:rPr>
        <w:t>visits</w:t>
      </w:r>
      <w:r>
        <w:rPr>
          <w:rFonts w:ascii="Arial" w:eastAsia="Arial" w:hAnsi="Arial" w:cs="Arial"/>
          <w:sz w:val="22"/>
          <w:szCs w:val="22"/>
        </w:rPr>
        <w:t xml:space="preserve"> for general medical, dermatology, counseling, psychiatry, sexual health, and tobacco cessation.</w:t>
      </w:r>
    </w:p>
    <w:p w14:paraId="604B8483" w14:textId="77777777" w:rsidR="00E61D0D" w:rsidRDefault="005B5C80">
      <w:pPr>
        <w:shd w:val="clear" w:color="auto" w:fill="FFFFFF"/>
        <w:rPr>
          <w:sz w:val="22"/>
          <w:szCs w:val="22"/>
        </w:rPr>
      </w:pPr>
      <w:r>
        <w:rPr>
          <w:rFonts w:ascii="Arial" w:eastAsia="Arial" w:hAnsi="Arial" w:cs="Arial"/>
          <w:color w:val="333333"/>
          <w:sz w:val="22"/>
          <w:szCs w:val="22"/>
        </w:rPr>
        <w:t> </w:t>
      </w:r>
    </w:p>
    <w:p w14:paraId="4C277EB7" w14:textId="302FB91E" w:rsidR="00E61D0D" w:rsidRPr="007751CB" w:rsidRDefault="005B5C80">
      <w:pPr>
        <w:shd w:val="clear" w:color="auto" w:fill="FFFFFF"/>
        <w:rPr>
          <w:rFonts w:ascii="Arial" w:eastAsia="Arial" w:hAnsi="Arial" w:cs="Arial"/>
          <w:sz w:val="22"/>
          <w:szCs w:val="22"/>
        </w:rPr>
      </w:pPr>
      <w:r>
        <w:rPr>
          <w:rFonts w:ascii="Arial" w:eastAsia="Arial" w:hAnsi="Arial" w:cs="Arial"/>
          <w:b/>
          <w:bCs/>
          <w:color w:val="333333"/>
          <w:sz w:val="22"/>
          <w:szCs w:val="22"/>
        </w:rPr>
        <w:t>About Best Doctors</w:t>
      </w:r>
      <w:r>
        <w:rPr>
          <w:rFonts w:ascii="Arial" w:eastAsia="Arial" w:hAnsi="Arial" w:cs="Arial"/>
          <w:b/>
          <w:bCs/>
          <w:color w:val="333333"/>
          <w:sz w:val="22"/>
          <w:szCs w:val="22"/>
        </w:rPr>
        <w:br/>
      </w:r>
      <w:r w:rsidRPr="007751CB">
        <w:rPr>
          <w:rFonts w:ascii="Arial" w:eastAsia="Arial" w:hAnsi="Arial" w:cs="Arial"/>
          <w:sz w:val="22"/>
          <w:szCs w:val="22"/>
        </w:rPr>
        <w:t xml:space="preserve">Founded in 1989 by Harvard Medical School physicians, Best Doctors is the world’s leading medical consultation company that connects individuals facing difficult diagnostic or medical treatment decisions with the best doctors, ranked by impartial peer review in over 450 subspecialties of medicine, to review their diagnosis and treatment plans. Best Doctors serves millions of members worldwide utilizing access to the brightest minds in medicine, analytics and technology to deliver improved health outcomes while reducing costs. A Best Doctors expert opinion led to a change or refinement of diagnosis in 37% of cases that the company reviewed, as well as a change or improvement of treatment plans in 75% of cases. </w:t>
      </w:r>
    </w:p>
    <w:p w14:paraId="22350641" w14:textId="77777777" w:rsidR="00E61D0D" w:rsidRDefault="005B5C80">
      <w:pPr>
        <w:shd w:val="clear" w:color="auto" w:fill="FFFFFF"/>
        <w:rPr>
          <w:sz w:val="22"/>
          <w:szCs w:val="22"/>
        </w:rPr>
      </w:pPr>
      <w:r>
        <w:rPr>
          <w:rFonts w:ascii="Arial" w:eastAsia="Arial" w:hAnsi="Arial" w:cs="Arial"/>
          <w:color w:val="333333"/>
          <w:sz w:val="22"/>
          <w:szCs w:val="22"/>
        </w:rPr>
        <w:t> </w:t>
      </w:r>
    </w:p>
    <w:p w14:paraId="673DA1EF" w14:textId="77777777" w:rsidR="00E61D0D" w:rsidRPr="007751CB" w:rsidRDefault="005B5C80">
      <w:pPr>
        <w:shd w:val="clear" w:color="auto" w:fill="FFFFFF"/>
        <w:rPr>
          <w:rFonts w:ascii="Arial" w:eastAsia="Arial" w:hAnsi="Arial" w:cs="Arial"/>
          <w:sz w:val="22"/>
          <w:szCs w:val="22"/>
        </w:rPr>
      </w:pPr>
      <w:r>
        <w:rPr>
          <w:rFonts w:ascii="Arial" w:eastAsia="Arial" w:hAnsi="Arial" w:cs="Arial"/>
          <w:b/>
          <w:bCs/>
          <w:color w:val="333333"/>
          <w:sz w:val="22"/>
          <w:szCs w:val="22"/>
        </w:rPr>
        <w:t>Media Contacts:</w:t>
      </w:r>
      <w:r>
        <w:rPr>
          <w:rFonts w:ascii="Arial" w:eastAsia="Arial" w:hAnsi="Arial" w:cs="Arial"/>
          <w:b/>
          <w:bCs/>
          <w:color w:val="333333"/>
          <w:sz w:val="22"/>
          <w:szCs w:val="22"/>
        </w:rPr>
        <w:br/>
      </w:r>
      <w:r w:rsidRPr="007751CB">
        <w:rPr>
          <w:rFonts w:ascii="Arial" w:eastAsia="Arial" w:hAnsi="Arial" w:cs="Arial"/>
          <w:sz w:val="22"/>
          <w:szCs w:val="22"/>
        </w:rPr>
        <w:t>Courtney McLeod</w:t>
      </w:r>
    </w:p>
    <w:p w14:paraId="427A421D" w14:textId="77777777" w:rsidR="00E61D0D" w:rsidRDefault="005B5C80">
      <w:pPr>
        <w:shd w:val="clear" w:color="auto" w:fill="FFFFFF"/>
        <w:rPr>
          <w:sz w:val="22"/>
          <w:szCs w:val="22"/>
        </w:rPr>
      </w:pPr>
      <w:r>
        <w:rPr>
          <w:rFonts w:ascii="Arial" w:eastAsia="Arial" w:hAnsi="Arial" w:cs="Arial"/>
          <w:sz w:val="22"/>
          <w:szCs w:val="22"/>
        </w:rPr>
        <w:t>Director of Public Relations, Teladoc</w:t>
      </w:r>
    </w:p>
    <w:p w14:paraId="674728C7" w14:textId="77777777" w:rsidR="00E61D0D" w:rsidRDefault="005B5C80">
      <w:pPr>
        <w:shd w:val="clear" w:color="auto" w:fill="FFFFFF"/>
        <w:rPr>
          <w:sz w:val="22"/>
          <w:szCs w:val="22"/>
        </w:rPr>
      </w:pPr>
      <w:r>
        <w:rPr>
          <w:rFonts w:ascii="Arial" w:eastAsia="Arial" w:hAnsi="Arial" w:cs="Arial"/>
          <w:sz w:val="22"/>
          <w:szCs w:val="22"/>
        </w:rPr>
        <w:t>914-265-6789</w:t>
      </w:r>
    </w:p>
    <w:p w14:paraId="2FF436C1" w14:textId="77777777" w:rsidR="00E61D0D" w:rsidRDefault="003C5BA5">
      <w:pPr>
        <w:shd w:val="clear" w:color="auto" w:fill="FFFFFF"/>
      </w:pPr>
      <w:hyperlink r:id="rId11" w:history="1">
        <w:r w:rsidR="005B5C80">
          <w:rPr>
            <w:rFonts w:ascii="Arial" w:eastAsia="Arial" w:hAnsi="Arial" w:cs="Arial"/>
            <w:color w:val="0563C1"/>
            <w:sz w:val="22"/>
            <w:szCs w:val="22"/>
            <w:u w:val="single" w:color="0563C1"/>
          </w:rPr>
          <w:t>cmcleod@teladoc.com</w:t>
        </w:r>
      </w:hyperlink>
      <w:r w:rsidR="005B5C80">
        <w:rPr>
          <w:rFonts w:ascii="Arial" w:eastAsia="Arial" w:hAnsi="Arial" w:cs="Arial"/>
          <w:sz w:val="22"/>
          <w:szCs w:val="22"/>
        </w:rPr>
        <w:t xml:space="preserve"> </w:t>
      </w:r>
      <w:r w:rsidR="005B5C80">
        <w:rPr>
          <w:rFonts w:ascii="Arial" w:eastAsia="Arial" w:hAnsi="Arial" w:cs="Arial"/>
          <w:sz w:val="22"/>
          <w:szCs w:val="22"/>
        </w:rPr>
        <w:br/>
      </w:r>
      <w:r w:rsidR="005B5C80">
        <w:t> </w:t>
      </w:r>
    </w:p>
    <w:p w14:paraId="46E5697F" w14:textId="77777777" w:rsidR="00E61D0D" w:rsidRDefault="005B5C80">
      <w:pPr>
        <w:shd w:val="clear" w:color="auto" w:fill="FFFFFF"/>
        <w:rPr>
          <w:sz w:val="22"/>
          <w:szCs w:val="22"/>
        </w:rPr>
      </w:pPr>
      <w:r>
        <w:rPr>
          <w:rFonts w:ascii="Arial" w:eastAsia="Arial" w:hAnsi="Arial" w:cs="Arial"/>
          <w:sz w:val="22"/>
          <w:szCs w:val="22"/>
        </w:rPr>
        <w:t>Maura Siefring</w:t>
      </w:r>
    </w:p>
    <w:p w14:paraId="6A0D0FBD" w14:textId="77777777" w:rsidR="00E61D0D" w:rsidRDefault="005B5C80">
      <w:pPr>
        <w:shd w:val="clear" w:color="auto" w:fill="FFFFFF"/>
        <w:rPr>
          <w:sz w:val="22"/>
          <w:szCs w:val="22"/>
        </w:rPr>
      </w:pPr>
      <w:r>
        <w:rPr>
          <w:rFonts w:ascii="Arial" w:eastAsia="Arial" w:hAnsi="Arial" w:cs="Arial"/>
          <w:sz w:val="22"/>
          <w:szCs w:val="22"/>
        </w:rPr>
        <w:t>GCI Health for Teladoc</w:t>
      </w:r>
    </w:p>
    <w:p w14:paraId="1221C75D" w14:textId="77777777" w:rsidR="00E61D0D" w:rsidRDefault="005B5C80">
      <w:pPr>
        <w:shd w:val="clear" w:color="auto" w:fill="FFFFFF"/>
        <w:rPr>
          <w:sz w:val="22"/>
          <w:szCs w:val="22"/>
        </w:rPr>
      </w:pPr>
      <w:r>
        <w:rPr>
          <w:rFonts w:ascii="Arial" w:eastAsia="Arial" w:hAnsi="Arial" w:cs="Arial"/>
          <w:sz w:val="22"/>
          <w:szCs w:val="22"/>
        </w:rPr>
        <w:t>215-837-8450</w:t>
      </w:r>
    </w:p>
    <w:p w14:paraId="34E9FE5F" w14:textId="77777777" w:rsidR="00E61D0D" w:rsidRDefault="003C5BA5">
      <w:pPr>
        <w:shd w:val="clear" w:color="auto" w:fill="FFFFFF"/>
      </w:pPr>
      <w:hyperlink r:id="rId12" w:history="1">
        <w:r w:rsidR="005B5C80">
          <w:rPr>
            <w:rFonts w:ascii="Arial" w:eastAsia="Arial" w:hAnsi="Arial" w:cs="Arial"/>
            <w:color w:val="0563C1"/>
            <w:sz w:val="22"/>
            <w:szCs w:val="22"/>
            <w:u w:val="single" w:color="0563C1"/>
          </w:rPr>
          <w:t>Maura.Siefring@gcihealth.com</w:t>
        </w:r>
      </w:hyperlink>
    </w:p>
    <w:p w14:paraId="0FD05636" w14:textId="77777777" w:rsidR="00E61D0D" w:rsidRPr="007751CB" w:rsidRDefault="005B5C80">
      <w:pPr>
        <w:shd w:val="clear" w:color="auto" w:fill="FFFFFF"/>
        <w:rPr>
          <w:i/>
          <w:sz w:val="22"/>
          <w:szCs w:val="22"/>
        </w:rPr>
      </w:pPr>
      <w:r w:rsidRPr="007751CB">
        <w:rPr>
          <w:rFonts w:ascii="Arial" w:eastAsia="Arial" w:hAnsi="Arial" w:cs="Arial"/>
          <w:i/>
          <w:color w:val="0563C1"/>
          <w:sz w:val="22"/>
          <w:szCs w:val="22"/>
        </w:rPr>
        <w:t> </w:t>
      </w:r>
    </w:p>
    <w:p w14:paraId="468804F9" w14:textId="77777777" w:rsidR="00E61D0D" w:rsidRPr="007751CB" w:rsidRDefault="005B5C80">
      <w:pPr>
        <w:shd w:val="clear" w:color="auto" w:fill="FFFFFF"/>
        <w:rPr>
          <w:rFonts w:ascii="Arial" w:eastAsia="Arial" w:hAnsi="Arial" w:cs="Arial"/>
          <w:sz w:val="22"/>
          <w:szCs w:val="22"/>
        </w:rPr>
      </w:pPr>
      <w:r>
        <w:rPr>
          <w:rFonts w:ascii="Arial" w:eastAsia="Arial" w:hAnsi="Arial" w:cs="Arial"/>
          <w:b/>
          <w:bCs/>
          <w:color w:val="333333"/>
          <w:sz w:val="22"/>
          <w:szCs w:val="22"/>
        </w:rPr>
        <w:t>Investor Contact:</w:t>
      </w:r>
      <w:r>
        <w:rPr>
          <w:rFonts w:ascii="Arial" w:eastAsia="Arial" w:hAnsi="Arial" w:cs="Arial"/>
          <w:b/>
          <w:bCs/>
          <w:color w:val="333333"/>
          <w:sz w:val="22"/>
          <w:szCs w:val="22"/>
        </w:rPr>
        <w:br/>
      </w:r>
      <w:r w:rsidRPr="007751CB">
        <w:rPr>
          <w:rFonts w:ascii="Arial" w:eastAsia="Arial" w:hAnsi="Arial" w:cs="Arial"/>
          <w:sz w:val="22"/>
          <w:szCs w:val="22"/>
        </w:rPr>
        <w:t>Jisoo Suh</w:t>
      </w:r>
    </w:p>
    <w:p w14:paraId="6B339680" w14:textId="77777777" w:rsidR="00E61D0D" w:rsidRDefault="005B5C80">
      <w:pPr>
        <w:shd w:val="clear" w:color="auto" w:fill="FFFFFF"/>
        <w:rPr>
          <w:sz w:val="22"/>
          <w:szCs w:val="22"/>
        </w:rPr>
      </w:pPr>
      <w:r>
        <w:rPr>
          <w:rFonts w:ascii="Arial" w:eastAsia="Arial" w:hAnsi="Arial" w:cs="Arial"/>
          <w:sz w:val="22"/>
          <w:szCs w:val="22"/>
        </w:rPr>
        <w:t>Director of Investor Relations</w:t>
      </w:r>
    </w:p>
    <w:p w14:paraId="3521A8BB" w14:textId="77777777" w:rsidR="00E61D0D" w:rsidRDefault="005B5C80">
      <w:pPr>
        <w:shd w:val="clear" w:color="auto" w:fill="FFFFFF"/>
      </w:pPr>
      <w:r>
        <w:rPr>
          <w:rFonts w:ascii="Arial" w:eastAsia="Arial" w:hAnsi="Arial" w:cs="Arial"/>
          <w:sz w:val="22"/>
          <w:szCs w:val="22"/>
        </w:rPr>
        <w:t>914-265-6706</w:t>
      </w:r>
      <w:r>
        <w:rPr>
          <w:rFonts w:ascii="Arial" w:eastAsia="Arial" w:hAnsi="Arial" w:cs="Arial"/>
          <w:sz w:val="22"/>
          <w:szCs w:val="22"/>
        </w:rPr>
        <w:br/>
      </w:r>
      <w:hyperlink r:id="rId13" w:history="1">
        <w:r>
          <w:rPr>
            <w:rFonts w:ascii="Arial" w:eastAsia="Arial" w:hAnsi="Arial" w:cs="Arial"/>
            <w:color w:val="0563C1"/>
            <w:sz w:val="22"/>
            <w:szCs w:val="22"/>
            <w:u w:val="single" w:color="0563C1"/>
          </w:rPr>
          <w:t>jsuh@teladoc.com</w:t>
        </w:r>
      </w:hyperlink>
    </w:p>
    <w:p w14:paraId="6752EE11" w14:textId="77777777" w:rsidR="00E61D0D" w:rsidRDefault="005B5C80">
      <w:pPr>
        <w:shd w:val="clear" w:color="auto" w:fill="FFFFFF"/>
        <w:rPr>
          <w:sz w:val="22"/>
          <w:szCs w:val="22"/>
        </w:rPr>
      </w:pPr>
      <w:r>
        <w:rPr>
          <w:rFonts w:ascii="Arial" w:eastAsia="Arial" w:hAnsi="Arial" w:cs="Arial"/>
          <w:sz w:val="22"/>
          <w:szCs w:val="22"/>
        </w:rPr>
        <w:t> </w:t>
      </w:r>
    </w:p>
    <w:p w14:paraId="2827C7B2" w14:textId="77777777" w:rsidR="00243253" w:rsidRPr="0096405B" w:rsidRDefault="00243253" w:rsidP="00CF663D">
      <w:pPr>
        <w:rPr>
          <w:rFonts w:ascii="Arial" w:hAnsi="Arial" w:cs="Arial"/>
          <w:color w:val="000000"/>
          <w:sz w:val="22"/>
          <w:szCs w:val="22"/>
        </w:rPr>
      </w:pPr>
      <w:r w:rsidRPr="0096405B">
        <w:rPr>
          <w:rFonts w:ascii="Arial" w:hAnsi="Arial" w:cs="Arial"/>
          <w:b/>
          <w:bCs/>
          <w:color w:val="000000"/>
          <w:sz w:val="22"/>
          <w:szCs w:val="22"/>
          <w:u w:val="single"/>
        </w:rPr>
        <w:t>Cautionary Note Regarding Forward-Looking Statements</w:t>
      </w:r>
    </w:p>
    <w:p w14:paraId="1924C884" w14:textId="7CEF3B4E" w:rsidR="00243253" w:rsidRPr="0096405B" w:rsidRDefault="00243253" w:rsidP="00D105F2">
      <w:pPr>
        <w:spacing w:after="200"/>
        <w:rPr>
          <w:rFonts w:ascii="Arial" w:hAnsi="Arial" w:cs="Arial"/>
          <w:bCs/>
          <w:color w:val="000000"/>
          <w:sz w:val="22"/>
          <w:szCs w:val="22"/>
        </w:rPr>
      </w:pPr>
      <w:r w:rsidRPr="0096405B">
        <w:rPr>
          <w:rFonts w:ascii="Arial" w:hAnsi="Arial" w:cs="Arial"/>
          <w:bCs/>
          <w:color w:val="000000"/>
          <w:sz w:val="22"/>
          <w:szCs w:val="22"/>
        </w:rPr>
        <w:t>This press release contains “forward-looking statements” within the meaning of the safe harbor provisions of the U.S. Private Securities Litigation Reform Act of 1995</w:t>
      </w:r>
      <w:r>
        <w:rPr>
          <w:rFonts w:ascii="Arial" w:hAnsi="Arial" w:cs="Arial"/>
          <w:bCs/>
          <w:color w:val="000000"/>
          <w:sz w:val="22"/>
          <w:szCs w:val="22"/>
        </w:rPr>
        <w:t xml:space="preserve"> concerning Teladoc, Best Doctors, the proposed acquisition of Best Doctors and other matters</w:t>
      </w:r>
      <w:r w:rsidRPr="0096405B">
        <w:rPr>
          <w:rFonts w:ascii="Arial" w:hAnsi="Arial" w:cs="Arial"/>
          <w:bCs/>
          <w:color w:val="000000"/>
          <w:sz w:val="22"/>
          <w:szCs w:val="22"/>
        </w:rPr>
        <w:t xml:space="preserve">. Forward-looking </w:t>
      </w:r>
      <w:r w:rsidRPr="0096405B">
        <w:rPr>
          <w:rFonts w:ascii="Arial" w:hAnsi="Arial" w:cs="Arial"/>
          <w:bCs/>
          <w:color w:val="000000"/>
          <w:sz w:val="22"/>
          <w:szCs w:val="22"/>
        </w:rPr>
        <w:lastRenderedPageBreak/>
        <w:t xml:space="preserve">statements can be identified by words such as: “anticipate,” “intend,” “plan,” “believe,” “project,” “estimate,” “expect,” “may,” “should,” “will” and similar references to future periods. Examples of forward-looking statements include, among others, statements we make regarding </w:t>
      </w:r>
      <w:r>
        <w:rPr>
          <w:rFonts w:ascii="Arial" w:hAnsi="Arial" w:cs="Arial"/>
          <w:bCs/>
          <w:color w:val="000000"/>
          <w:sz w:val="22"/>
          <w:szCs w:val="22"/>
        </w:rPr>
        <w:t xml:space="preserve">the intended acquisition of Best Doctors, </w:t>
      </w:r>
      <w:r w:rsidRPr="0096405B">
        <w:rPr>
          <w:rFonts w:ascii="Arial" w:hAnsi="Arial" w:cs="Arial"/>
          <w:bCs/>
          <w:color w:val="000000"/>
          <w:sz w:val="22"/>
          <w:szCs w:val="22"/>
        </w:rPr>
        <w:t>future revenues, future earnings, future numbers of members or clients, litigation outcomes, regulatory developments, market developments, new products and growth strategies, and the effects of any of the foregoing on our future results of operations or financial conditions.</w:t>
      </w:r>
    </w:p>
    <w:p w14:paraId="332D230E" w14:textId="0D033858" w:rsidR="00243253" w:rsidRPr="0096405B" w:rsidRDefault="00243253" w:rsidP="00D105F2">
      <w:pPr>
        <w:spacing w:after="200"/>
        <w:rPr>
          <w:rFonts w:ascii="Arial" w:hAnsi="Arial" w:cs="Arial"/>
          <w:bCs/>
          <w:color w:val="000000"/>
          <w:sz w:val="22"/>
          <w:szCs w:val="22"/>
        </w:rPr>
      </w:pPr>
      <w:r w:rsidRPr="0096405B">
        <w:rPr>
          <w:rFonts w:ascii="Arial" w:hAnsi="Arial" w:cs="Arial"/>
          <w:bCs/>
          <w:color w:val="000000"/>
          <w:sz w:val="22"/>
          <w:szCs w:val="22"/>
        </w:rPr>
        <w:t xml:space="preserve">Forward-looking statements are neither historical facts nor assurances of future performance. Instead, they are based only on our current beliefs, expectations and assumptions regarding the future of our business, future plans and strategies, projections, anticipated events and trends, the economy and other future conditions. Because forward-looking statements relate to the future, they are subject to inherent uncertainties, risks and changes in circumstances that are difficult to predict and many of which are outside of </w:t>
      </w:r>
      <w:r w:rsidR="00BF5B20">
        <w:rPr>
          <w:rFonts w:ascii="Arial" w:hAnsi="Arial" w:cs="Arial"/>
          <w:bCs/>
          <w:color w:val="000000"/>
          <w:sz w:val="22"/>
          <w:szCs w:val="22"/>
        </w:rPr>
        <w:t>the</w:t>
      </w:r>
      <w:r w:rsidRPr="0096405B">
        <w:rPr>
          <w:rFonts w:ascii="Arial" w:hAnsi="Arial" w:cs="Arial"/>
          <w:bCs/>
          <w:color w:val="000000"/>
          <w:sz w:val="22"/>
          <w:szCs w:val="22"/>
        </w:rPr>
        <w:t xml:space="preserve"> control</w:t>
      </w:r>
      <w:r w:rsidR="00BF5B20">
        <w:rPr>
          <w:rFonts w:ascii="Arial" w:hAnsi="Arial" w:cs="Arial"/>
          <w:bCs/>
          <w:color w:val="000000"/>
          <w:sz w:val="22"/>
          <w:szCs w:val="22"/>
        </w:rPr>
        <w:t xml:space="preserve"> of Teladoc and Best Doctors</w:t>
      </w:r>
      <w:r w:rsidRPr="0096405B">
        <w:rPr>
          <w:rFonts w:ascii="Arial" w:hAnsi="Arial" w:cs="Arial"/>
          <w:bCs/>
          <w:color w:val="000000"/>
          <w:sz w:val="22"/>
          <w:szCs w:val="22"/>
        </w:rPr>
        <w:t xml:space="preserve">. Our actual results and financial condition may differ materially from those indicated in the forward-looking statements. Important factors that could cause our actual results and financial condition to differ materially from those indicated in the forward-looking statements include, among others, the following: (i) </w:t>
      </w:r>
      <w:r w:rsidR="00D105F2">
        <w:rPr>
          <w:rFonts w:ascii="Arial" w:hAnsi="Arial" w:cs="Arial"/>
          <w:bCs/>
          <w:color w:val="000000"/>
          <w:sz w:val="22"/>
          <w:szCs w:val="22"/>
        </w:rPr>
        <w:t xml:space="preserve">risks related to the acquisition of Best Doctors, including failure to obtain applicable regulatory approvals in a timely manner or at all, integration risks, exposure to international operations and failure to achieve the anticipated benefits of the acquisition; (ii) </w:t>
      </w:r>
      <w:r w:rsidRPr="0096405B">
        <w:rPr>
          <w:rFonts w:ascii="Arial" w:hAnsi="Arial" w:cs="Arial"/>
          <w:bCs/>
          <w:color w:val="000000"/>
          <w:sz w:val="22"/>
          <w:szCs w:val="22"/>
        </w:rPr>
        <w:t>changes in laws and regulations applicable to our business model; (ii</w:t>
      </w:r>
      <w:r w:rsidR="00D105F2">
        <w:rPr>
          <w:rFonts w:ascii="Arial" w:hAnsi="Arial" w:cs="Arial"/>
          <w:bCs/>
          <w:color w:val="000000"/>
          <w:sz w:val="22"/>
          <w:szCs w:val="22"/>
        </w:rPr>
        <w:t>i</w:t>
      </w:r>
      <w:r w:rsidRPr="0096405B">
        <w:rPr>
          <w:rFonts w:ascii="Arial" w:hAnsi="Arial" w:cs="Arial"/>
          <w:bCs/>
          <w:color w:val="000000"/>
          <w:sz w:val="22"/>
          <w:szCs w:val="22"/>
        </w:rPr>
        <w:t xml:space="preserve">) changes in market conditions and receptivity to </w:t>
      </w:r>
      <w:r w:rsidR="00D105F2">
        <w:rPr>
          <w:rFonts w:ascii="Arial" w:hAnsi="Arial" w:cs="Arial"/>
          <w:bCs/>
          <w:color w:val="000000"/>
          <w:sz w:val="22"/>
          <w:szCs w:val="22"/>
        </w:rPr>
        <w:t>our services and offerings; (iv) results of litigation; (v</w:t>
      </w:r>
      <w:r w:rsidRPr="0096405B">
        <w:rPr>
          <w:rFonts w:ascii="Arial" w:hAnsi="Arial" w:cs="Arial"/>
          <w:bCs/>
          <w:color w:val="000000"/>
          <w:sz w:val="22"/>
          <w:szCs w:val="22"/>
        </w:rPr>
        <w:t>) the loss of one or more key clients; and (v</w:t>
      </w:r>
      <w:r w:rsidR="00D105F2">
        <w:rPr>
          <w:rFonts w:ascii="Arial" w:hAnsi="Arial" w:cs="Arial"/>
          <w:bCs/>
          <w:color w:val="000000"/>
          <w:sz w:val="22"/>
          <w:szCs w:val="22"/>
        </w:rPr>
        <w:t>i</w:t>
      </w:r>
      <w:r w:rsidRPr="0096405B">
        <w:rPr>
          <w:rFonts w:ascii="Arial" w:hAnsi="Arial" w:cs="Arial"/>
          <w:bCs/>
          <w:color w:val="000000"/>
          <w:sz w:val="22"/>
          <w:szCs w:val="22"/>
        </w:rPr>
        <w:t xml:space="preserve">) changes to our abilities to recruit and retain qualified providers into our network. For a detailed discussion of the risk factors that could affect our actual results, please refer to the risk factors identified in our SEC reports, including, but not limited to our Annual Report on Form 10-K and Quarterly Reports on Form 10-Q, as filed with the </w:t>
      </w:r>
      <w:r w:rsidR="009A2333">
        <w:rPr>
          <w:rFonts w:ascii="Arial" w:hAnsi="Arial" w:cs="Arial"/>
          <w:bCs/>
          <w:color w:val="000000"/>
          <w:sz w:val="22"/>
          <w:szCs w:val="22"/>
        </w:rPr>
        <w:t>Securities and Exchange Commission</w:t>
      </w:r>
      <w:r w:rsidRPr="0096405B">
        <w:rPr>
          <w:rFonts w:ascii="Arial" w:hAnsi="Arial" w:cs="Arial"/>
          <w:bCs/>
          <w:color w:val="000000"/>
          <w:sz w:val="22"/>
          <w:szCs w:val="22"/>
        </w:rPr>
        <w:t>.</w:t>
      </w:r>
    </w:p>
    <w:p w14:paraId="65A6A547" w14:textId="77777777" w:rsidR="00243253" w:rsidRPr="0096405B" w:rsidRDefault="00243253" w:rsidP="00243253">
      <w:pPr>
        <w:keepNext/>
        <w:spacing w:after="200"/>
        <w:rPr>
          <w:rFonts w:ascii="Arial" w:hAnsi="Arial" w:cs="Arial"/>
          <w:bCs/>
          <w:color w:val="000000"/>
          <w:sz w:val="22"/>
          <w:szCs w:val="22"/>
        </w:rPr>
      </w:pPr>
      <w:r w:rsidRPr="0096405B">
        <w:rPr>
          <w:rFonts w:ascii="Arial" w:hAnsi="Arial" w:cs="Arial"/>
          <w:bCs/>
          <w:color w:val="000000"/>
          <w:sz w:val="22"/>
          <w:szCs w:val="22"/>
        </w:rPr>
        <w:t>Any forward-looking statement made by us in this press release is based only on information currently available to us and speaks only as of the date on which it is made. We undertake no obligation to publicly update any forward-looking statement, whether written or oral, that may be made from time to time, whether as a result of new information, future developments or otherwise.</w:t>
      </w:r>
    </w:p>
    <w:p w14:paraId="0C9FA9CC" w14:textId="77777777" w:rsidR="00D73703" w:rsidRDefault="00D73703" w:rsidP="00D105F2">
      <w:pPr>
        <w:pStyle w:val="FootnoteText"/>
        <w:spacing w:before="0"/>
        <w:ind w:left="0" w:firstLine="0"/>
        <w:rPr>
          <w:rFonts w:ascii="Arial" w:hAnsi="Arial"/>
          <w:sz w:val="22"/>
          <w:szCs w:val="22"/>
        </w:rPr>
      </w:pPr>
    </w:p>
    <w:p w14:paraId="24DE7427" w14:textId="77777777" w:rsidR="00E61D0D" w:rsidRDefault="005B5C80">
      <w:pPr>
        <w:shd w:val="clear" w:color="auto" w:fill="FFFFFF"/>
        <w:jc w:val="center"/>
      </w:pPr>
      <w:r>
        <w:rPr>
          <w:color w:val="333333"/>
        </w:rPr>
        <w:t>###</w:t>
      </w:r>
    </w:p>
    <w:p w14:paraId="051AC394" w14:textId="77777777" w:rsidR="00E61D0D" w:rsidRDefault="005B5C80">
      <w:pPr>
        <w:shd w:val="clear" w:color="auto" w:fill="FFFFFF"/>
        <w:rPr>
          <w:sz w:val="22"/>
          <w:szCs w:val="22"/>
        </w:rPr>
      </w:pPr>
      <w:r>
        <w:rPr>
          <w:sz w:val="22"/>
          <w:szCs w:val="22"/>
        </w:rPr>
        <w:t> </w:t>
      </w:r>
    </w:p>
    <w:sectPr w:rsidR="00E61D0D">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82A18" w14:textId="77777777" w:rsidR="003C5BA5" w:rsidRDefault="003C5BA5" w:rsidP="00D105F2">
      <w:r>
        <w:separator/>
      </w:r>
    </w:p>
  </w:endnote>
  <w:endnote w:type="continuationSeparator" w:id="0">
    <w:p w14:paraId="184B0E6C" w14:textId="77777777" w:rsidR="003C5BA5" w:rsidRDefault="003C5BA5" w:rsidP="00D1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14CB" w14:textId="77777777" w:rsidR="003C5BA5" w:rsidRDefault="003C5BA5" w:rsidP="00D105F2">
      <w:r>
        <w:separator/>
      </w:r>
    </w:p>
  </w:footnote>
  <w:footnote w:type="continuationSeparator" w:id="0">
    <w:p w14:paraId="5EBFDC49" w14:textId="77777777" w:rsidR="003C5BA5" w:rsidRDefault="003C5BA5" w:rsidP="00D10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4F200486">
      <w:start w:val="1"/>
      <w:numFmt w:val="bullet"/>
      <w:lvlText w:val=""/>
      <w:lvlJc w:val="left"/>
      <w:pPr>
        <w:ind w:left="720" w:hanging="360"/>
      </w:pPr>
      <w:rPr>
        <w:rFonts w:ascii="Symbol" w:hAnsi="Symbol"/>
        <w:b w:val="0"/>
        <w:bCs w:val="0"/>
      </w:rPr>
    </w:lvl>
    <w:lvl w:ilvl="1" w:tplc="E4228896">
      <w:start w:val="1"/>
      <w:numFmt w:val="bullet"/>
      <w:lvlText w:val="o"/>
      <w:lvlJc w:val="left"/>
      <w:pPr>
        <w:tabs>
          <w:tab w:val="num" w:pos="1440"/>
        </w:tabs>
        <w:ind w:left="1440" w:hanging="360"/>
      </w:pPr>
      <w:rPr>
        <w:rFonts w:ascii="Courier New" w:hAnsi="Courier New"/>
      </w:rPr>
    </w:lvl>
    <w:lvl w:ilvl="2" w:tplc="7EC015B6">
      <w:start w:val="1"/>
      <w:numFmt w:val="bullet"/>
      <w:lvlText w:val=""/>
      <w:lvlJc w:val="left"/>
      <w:pPr>
        <w:tabs>
          <w:tab w:val="num" w:pos="2160"/>
        </w:tabs>
        <w:ind w:left="2160" w:hanging="360"/>
      </w:pPr>
      <w:rPr>
        <w:rFonts w:ascii="Wingdings" w:hAnsi="Wingdings"/>
      </w:rPr>
    </w:lvl>
    <w:lvl w:ilvl="3" w:tplc="5F500FB6">
      <w:start w:val="1"/>
      <w:numFmt w:val="bullet"/>
      <w:lvlText w:val=""/>
      <w:lvlJc w:val="left"/>
      <w:pPr>
        <w:tabs>
          <w:tab w:val="num" w:pos="2880"/>
        </w:tabs>
        <w:ind w:left="2880" w:hanging="360"/>
      </w:pPr>
      <w:rPr>
        <w:rFonts w:ascii="Symbol" w:hAnsi="Symbol"/>
      </w:rPr>
    </w:lvl>
    <w:lvl w:ilvl="4" w:tplc="233C2152">
      <w:start w:val="1"/>
      <w:numFmt w:val="bullet"/>
      <w:lvlText w:val="o"/>
      <w:lvlJc w:val="left"/>
      <w:pPr>
        <w:tabs>
          <w:tab w:val="num" w:pos="3600"/>
        </w:tabs>
        <w:ind w:left="3600" w:hanging="360"/>
      </w:pPr>
      <w:rPr>
        <w:rFonts w:ascii="Courier New" w:hAnsi="Courier New"/>
      </w:rPr>
    </w:lvl>
    <w:lvl w:ilvl="5" w:tplc="A05098CA">
      <w:start w:val="1"/>
      <w:numFmt w:val="bullet"/>
      <w:lvlText w:val=""/>
      <w:lvlJc w:val="left"/>
      <w:pPr>
        <w:tabs>
          <w:tab w:val="num" w:pos="4320"/>
        </w:tabs>
        <w:ind w:left="4320" w:hanging="360"/>
      </w:pPr>
      <w:rPr>
        <w:rFonts w:ascii="Wingdings" w:hAnsi="Wingdings"/>
      </w:rPr>
    </w:lvl>
    <w:lvl w:ilvl="6" w:tplc="F74812E6">
      <w:start w:val="1"/>
      <w:numFmt w:val="bullet"/>
      <w:lvlText w:val=""/>
      <w:lvlJc w:val="left"/>
      <w:pPr>
        <w:tabs>
          <w:tab w:val="num" w:pos="5040"/>
        </w:tabs>
        <w:ind w:left="5040" w:hanging="360"/>
      </w:pPr>
      <w:rPr>
        <w:rFonts w:ascii="Symbol" w:hAnsi="Symbol"/>
      </w:rPr>
    </w:lvl>
    <w:lvl w:ilvl="7" w:tplc="6DA84D44">
      <w:start w:val="1"/>
      <w:numFmt w:val="bullet"/>
      <w:lvlText w:val="o"/>
      <w:lvlJc w:val="left"/>
      <w:pPr>
        <w:tabs>
          <w:tab w:val="num" w:pos="5760"/>
        </w:tabs>
        <w:ind w:left="5760" w:hanging="360"/>
      </w:pPr>
      <w:rPr>
        <w:rFonts w:ascii="Courier New" w:hAnsi="Courier New"/>
      </w:rPr>
    </w:lvl>
    <w:lvl w:ilvl="8" w:tplc="961EAA42">
      <w:start w:val="1"/>
      <w:numFmt w:val="bullet"/>
      <w:lvlText w:val=""/>
      <w:lvlJc w:val="left"/>
      <w:pPr>
        <w:tabs>
          <w:tab w:val="num" w:pos="6480"/>
        </w:tabs>
        <w:ind w:left="6480" w:hanging="360"/>
      </w:pPr>
      <w:rPr>
        <w:rFonts w:ascii="Wingdings" w:hAnsi="Wingdings"/>
      </w:rPr>
    </w:lvl>
  </w:abstractNum>
  <w:abstractNum w:abstractNumId="1" w15:restartNumberingAfterBreak="0">
    <w:nsid w:val="1FED021C"/>
    <w:multiLevelType w:val="hybridMultilevel"/>
    <w:tmpl w:val="6B82D2B8"/>
    <w:lvl w:ilvl="0" w:tplc="B24473D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E283B"/>
    <w:multiLevelType w:val="hybridMultilevel"/>
    <w:tmpl w:val="2A5A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345F7E"/>
    <w:multiLevelType w:val="hybridMultilevel"/>
    <w:tmpl w:val="42925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071379"/>
    <w:multiLevelType w:val="multilevel"/>
    <w:tmpl w:val="989C31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styleLockQFSet/>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CheckedForWebBugs" w:val="True"/>
  </w:docVars>
  <w:rsids>
    <w:rsidRoot w:val="00E61D0D"/>
    <w:rsid w:val="00096941"/>
    <w:rsid w:val="000C07F4"/>
    <w:rsid w:val="000E2A4F"/>
    <w:rsid w:val="000E5C3D"/>
    <w:rsid w:val="000E6056"/>
    <w:rsid w:val="000F62AE"/>
    <w:rsid w:val="0010114D"/>
    <w:rsid w:val="001061FB"/>
    <w:rsid w:val="00130510"/>
    <w:rsid w:val="00151E0D"/>
    <w:rsid w:val="0015799D"/>
    <w:rsid w:val="00173190"/>
    <w:rsid w:val="00175EEE"/>
    <w:rsid w:val="00185B1A"/>
    <w:rsid w:val="001A7F37"/>
    <w:rsid w:val="001B78B1"/>
    <w:rsid w:val="001F1CE5"/>
    <w:rsid w:val="00201CAC"/>
    <w:rsid w:val="0020441C"/>
    <w:rsid w:val="00206BE8"/>
    <w:rsid w:val="00230E89"/>
    <w:rsid w:val="0023300E"/>
    <w:rsid w:val="00243253"/>
    <w:rsid w:val="00264980"/>
    <w:rsid w:val="0028122A"/>
    <w:rsid w:val="0029373C"/>
    <w:rsid w:val="002B7578"/>
    <w:rsid w:val="002C1D71"/>
    <w:rsid w:val="002D3AED"/>
    <w:rsid w:val="003230ED"/>
    <w:rsid w:val="0038092E"/>
    <w:rsid w:val="003873DB"/>
    <w:rsid w:val="00396AC3"/>
    <w:rsid w:val="003A2F43"/>
    <w:rsid w:val="003C5BA5"/>
    <w:rsid w:val="003D0161"/>
    <w:rsid w:val="003D3870"/>
    <w:rsid w:val="003D6EBC"/>
    <w:rsid w:val="0042265B"/>
    <w:rsid w:val="004345E4"/>
    <w:rsid w:val="00436178"/>
    <w:rsid w:val="00436D14"/>
    <w:rsid w:val="004573BC"/>
    <w:rsid w:val="0046394E"/>
    <w:rsid w:val="004A753D"/>
    <w:rsid w:val="004A7CA7"/>
    <w:rsid w:val="004C30BD"/>
    <w:rsid w:val="004C7C2F"/>
    <w:rsid w:val="004D0541"/>
    <w:rsid w:val="004D64B0"/>
    <w:rsid w:val="005044FA"/>
    <w:rsid w:val="00523CAA"/>
    <w:rsid w:val="005957C9"/>
    <w:rsid w:val="005A77E1"/>
    <w:rsid w:val="005B5C80"/>
    <w:rsid w:val="005D6884"/>
    <w:rsid w:val="005E08E2"/>
    <w:rsid w:val="005F21F3"/>
    <w:rsid w:val="005F4AC9"/>
    <w:rsid w:val="00606F5F"/>
    <w:rsid w:val="006110AF"/>
    <w:rsid w:val="00685D2F"/>
    <w:rsid w:val="006A7D09"/>
    <w:rsid w:val="006B3A55"/>
    <w:rsid w:val="006C101B"/>
    <w:rsid w:val="006C1BBC"/>
    <w:rsid w:val="006D0606"/>
    <w:rsid w:val="00700AC5"/>
    <w:rsid w:val="00710B3B"/>
    <w:rsid w:val="00711C69"/>
    <w:rsid w:val="00712F87"/>
    <w:rsid w:val="00726FD6"/>
    <w:rsid w:val="00727FBC"/>
    <w:rsid w:val="00731B29"/>
    <w:rsid w:val="007473F6"/>
    <w:rsid w:val="00762E87"/>
    <w:rsid w:val="007751CB"/>
    <w:rsid w:val="0078380E"/>
    <w:rsid w:val="007A62D9"/>
    <w:rsid w:val="008255AB"/>
    <w:rsid w:val="00844F56"/>
    <w:rsid w:val="00856971"/>
    <w:rsid w:val="00867D5F"/>
    <w:rsid w:val="008B0045"/>
    <w:rsid w:val="008D3A5F"/>
    <w:rsid w:val="008E3C95"/>
    <w:rsid w:val="00904002"/>
    <w:rsid w:val="00905FC3"/>
    <w:rsid w:val="009A2333"/>
    <w:rsid w:val="009B0240"/>
    <w:rsid w:val="009C2030"/>
    <w:rsid w:val="00A029BE"/>
    <w:rsid w:val="00A4224A"/>
    <w:rsid w:val="00A45ED3"/>
    <w:rsid w:val="00A4642F"/>
    <w:rsid w:val="00A53E00"/>
    <w:rsid w:val="00A83ECC"/>
    <w:rsid w:val="00AA4B9D"/>
    <w:rsid w:val="00AC55DF"/>
    <w:rsid w:val="00AE5B39"/>
    <w:rsid w:val="00AE6E86"/>
    <w:rsid w:val="00AF284B"/>
    <w:rsid w:val="00B17C5A"/>
    <w:rsid w:val="00B33827"/>
    <w:rsid w:val="00B53B2B"/>
    <w:rsid w:val="00B55B90"/>
    <w:rsid w:val="00B751F6"/>
    <w:rsid w:val="00B916D3"/>
    <w:rsid w:val="00B93F8B"/>
    <w:rsid w:val="00BB58F6"/>
    <w:rsid w:val="00BB7810"/>
    <w:rsid w:val="00BD675B"/>
    <w:rsid w:val="00BF0FED"/>
    <w:rsid w:val="00BF5B20"/>
    <w:rsid w:val="00C2161E"/>
    <w:rsid w:val="00C45209"/>
    <w:rsid w:val="00C520EB"/>
    <w:rsid w:val="00C70500"/>
    <w:rsid w:val="00CC3457"/>
    <w:rsid w:val="00CD0FD4"/>
    <w:rsid w:val="00CD2544"/>
    <w:rsid w:val="00CE1D27"/>
    <w:rsid w:val="00CE4F1D"/>
    <w:rsid w:val="00CF1C3C"/>
    <w:rsid w:val="00CF663D"/>
    <w:rsid w:val="00D0333F"/>
    <w:rsid w:val="00D105F2"/>
    <w:rsid w:val="00D36928"/>
    <w:rsid w:val="00D47E21"/>
    <w:rsid w:val="00D518B6"/>
    <w:rsid w:val="00D73703"/>
    <w:rsid w:val="00D73B0A"/>
    <w:rsid w:val="00D96C9E"/>
    <w:rsid w:val="00E03AE2"/>
    <w:rsid w:val="00E06C7C"/>
    <w:rsid w:val="00E323C4"/>
    <w:rsid w:val="00E32AA3"/>
    <w:rsid w:val="00E455FC"/>
    <w:rsid w:val="00E61D0D"/>
    <w:rsid w:val="00E73FC3"/>
    <w:rsid w:val="00E81117"/>
    <w:rsid w:val="00E81785"/>
    <w:rsid w:val="00E93810"/>
    <w:rsid w:val="00E95F71"/>
    <w:rsid w:val="00E9677B"/>
    <w:rsid w:val="00EA3964"/>
    <w:rsid w:val="00EB264E"/>
    <w:rsid w:val="00EC36C1"/>
    <w:rsid w:val="00ED0E4C"/>
    <w:rsid w:val="00EE188E"/>
    <w:rsid w:val="00EE341F"/>
    <w:rsid w:val="00F43656"/>
    <w:rsid w:val="00F5781F"/>
    <w:rsid w:val="00F9438E"/>
    <w:rsid w:val="00F95084"/>
    <w:rsid w:val="00FC661A"/>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029E"/>
  <w15:docId w15:val="{4FD6A68B-7C38-4626-A7C0-FD8F4701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80"/>
    <w:rPr>
      <w:rFonts w:ascii="Segoe UI" w:hAnsi="Segoe UI" w:cs="Segoe UI"/>
      <w:sz w:val="18"/>
      <w:szCs w:val="18"/>
    </w:rPr>
  </w:style>
  <w:style w:type="character" w:styleId="CommentReference">
    <w:name w:val="annotation reference"/>
    <w:basedOn w:val="DefaultParagraphFont"/>
    <w:uiPriority w:val="99"/>
    <w:semiHidden/>
    <w:unhideWhenUsed/>
    <w:rsid w:val="000E6056"/>
    <w:rPr>
      <w:sz w:val="16"/>
      <w:szCs w:val="16"/>
    </w:rPr>
  </w:style>
  <w:style w:type="paragraph" w:styleId="CommentText">
    <w:name w:val="annotation text"/>
    <w:basedOn w:val="Normal"/>
    <w:link w:val="CommentTextChar"/>
    <w:uiPriority w:val="99"/>
    <w:semiHidden/>
    <w:unhideWhenUsed/>
    <w:rsid w:val="000E6056"/>
    <w:rPr>
      <w:sz w:val="20"/>
      <w:szCs w:val="20"/>
    </w:rPr>
  </w:style>
  <w:style w:type="character" w:customStyle="1" w:styleId="CommentTextChar">
    <w:name w:val="Comment Text Char"/>
    <w:basedOn w:val="DefaultParagraphFont"/>
    <w:link w:val="CommentText"/>
    <w:uiPriority w:val="99"/>
    <w:semiHidden/>
    <w:rsid w:val="000E6056"/>
  </w:style>
  <w:style w:type="paragraph" w:styleId="CommentSubject">
    <w:name w:val="annotation subject"/>
    <w:basedOn w:val="CommentText"/>
    <w:next w:val="CommentText"/>
    <w:link w:val="CommentSubjectChar"/>
    <w:uiPriority w:val="99"/>
    <w:semiHidden/>
    <w:unhideWhenUsed/>
    <w:rsid w:val="000E6056"/>
    <w:rPr>
      <w:b/>
      <w:bCs/>
    </w:rPr>
  </w:style>
  <w:style w:type="character" w:customStyle="1" w:styleId="CommentSubjectChar">
    <w:name w:val="Comment Subject Char"/>
    <w:basedOn w:val="CommentTextChar"/>
    <w:link w:val="CommentSubject"/>
    <w:uiPriority w:val="99"/>
    <w:semiHidden/>
    <w:rsid w:val="000E6056"/>
    <w:rPr>
      <w:b/>
      <w:bCs/>
    </w:rPr>
  </w:style>
  <w:style w:type="paragraph" w:styleId="ListParagraph">
    <w:name w:val="List Paragraph"/>
    <w:basedOn w:val="Normal"/>
    <w:uiPriority w:val="34"/>
    <w:qFormat/>
    <w:rsid w:val="00F43656"/>
    <w:pPr>
      <w:ind w:left="720"/>
      <w:contextualSpacing/>
    </w:pPr>
  </w:style>
  <w:style w:type="paragraph" w:styleId="PlainText">
    <w:name w:val="Plain Text"/>
    <w:basedOn w:val="Normal"/>
    <w:link w:val="PlainTextChar"/>
    <w:uiPriority w:val="99"/>
    <w:semiHidden/>
    <w:unhideWhenUsed/>
    <w:rsid w:val="00F95084"/>
    <w:rPr>
      <w:rFonts w:ascii="Consolas" w:hAnsi="Consolas" w:cs="Consolas"/>
      <w:sz w:val="21"/>
      <w:szCs w:val="21"/>
    </w:rPr>
  </w:style>
  <w:style w:type="character" w:customStyle="1" w:styleId="PlainTextChar">
    <w:name w:val="Plain Text Char"/>
    <w:basedOn w:val="DefaultParagraphFont"/>
    <w:link w:val="PlainText"/>
    <w:uiPriority w:val="99"/>
    <w:semiHidden/>
    <w:rsid w:val="00F95084"/>
    <w:rPr>
      <w:rFonts w:ascii="Consolas" w:hAnsi="Consolas" w:cs="Consolas"/>
      <w:sz w:val="21"/>
      <w:szCs w:val="21"/>
    </w:rPr>
  </w:style>
  <w:style w:type="paragraph" w:customStyle="1" w:styleId="Default">
    <w:name w:val="Default"/>
    <w:rsid w:val="005F21F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3300E"/>
    <w:rPr>
      <w:color w:val="0563C1" w:themeColor="hyperlink"/>
      <w:u w:val="single"/>
    </w:rPr>
  </w:style>
  <w:style w:type="paragraph" w:styleId="MacroText">
    <w:name w:val="macro"/>
    <w:link w:val="MacroTextChar"/>
    <w:uiPriority w:val="99"/>
    <w:semiHidden/>
    <w:unhideWhenUsed/>
    <w:rsid w:val="00EC36C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EC36C1"/>
    <w:rPr>
      <w:rFonts w:ascii="Consolas" w:hAnsi="Consolas" w:cs="Consolas"/>
    </w:rPr>
  </w:style>
  <w:style w:type="paragraph" w:styleId="FootnoteText">
    <w:name w:val="footnote text"/>
    <w:aliases w:val="Car,FT Char,Footnote Text Char Char Char,Footnote Text Char Char Char Char Char,Footnote Text Char Char1,Footnote Text Char1 Char,Footnote Text Char1 Char Char Char,Footnote Text Char1 Char Char Char Char Char,Style 36,Style 42,fn,ft"/>
    <w:basedOn w:val="Normal"/>
    <w:link w:val="FootnoteTextChar"/>
    <w:rsid w:val="00B751F6"/>
    <w:pPr>
      <w:spacing w:before="120"/>
      <w:ind w:left="432" w:hanging="432"/>
    </w:pPr>
    <w:rPr>
      <w:rFonts w:cs="Arial"/>
      <w:sz w:val="18"/>
    </w:rPr>
  </w:style>
  <w:style w:type="character" w:customStyle="1" w:styleId="FootnoteTextChar">
    <w:name w:val="Footnote Text Char"/>
    <w:aliases w:val="Car Char,FT Char Char,Footnote Text Char Char Char Char,Footnote Text Char Char Char Char Char Char,Footnote Text Char Char1 Char,Footnote Text Char1 Char Char,Footnote Text Char1 Char Char Char Char,Style 36 Char,Style 42 Char"/>
    <w:basedOn w:val="DefaultParagraphFont"/>
    <w:link w:val="FootnoteText"/>
    <w:rsid w:val="00B751F6"/>
    <w:rPr>
      <w:rFonts w:cs="Arial"/>
      <w:sz w:val="18"/>
      <w:szCs w:val="24"/>
    </w:rPr>
  </w:style>
  <w:style w:type="table" w:styleId="TableGrid">
    <w:name w:val="Table Grid"/>
    <w:basedOn w:val="TableNormal"/>
    <w:uiPriority w:val="59"/>
    <w:rsid w:val="00B751F6"/>
    <w:pPr>
      <w:widowControl w:val="0"/>
      <w:spacing w:after="200" w:line="276" w:lineRule="auto"/>
    </w:pPr>
    <w:rPr>
      <w:rFonts w:cs="Arial"/>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ontinued">
    <w:name w:val="Body Text Continued"/>
    <w:basedOn w:val="Normal"/>
    <w:next w:val="BodyText1"/>
    <w:uiPriority w:val="2"/>
    <w:rsid w:val="00B751F6"/>
    <w:pPr>
      <w:spacing w:after="180"/>
    </w:pPr>
    <w:rPr>
      <w:rFonts w:cs="Arial"/>
      <w:sz w:val="20"/>
    </w:rPr>
  </w:style>
  <w:style w:type="paragraph" w:customStyle="1" w:styleId="BodyText1">
    <w:name w:val="BodyText 1"/>
    <w:basedOn w:val="Normal"/>
    <w:uiPriority w:val="1"/>
    <w:qFormat/>
    <w:rsid w:val="00B751F6"/>
    <w:pPr>
      <w:spacing w:after="200"/>
      <w:ind w:firstLine="720"/>
    </w:pPr>
    <w:rPr>
      <w:rFonts w:cs="Arial"/>
      <w:sz w:val="20"/>
    </w:rPr>
  </w:style>
  <w:style w:type="character" w:styleId="FootnoteReference">
    <w:name w:val="footnote reference"/>
    <w:basedOn w:val="DefaultParagraphFont"/>
    <w:uiPriority w:val="99"/>
    <w:semiHidden/>
    <w:unhideWhenUsed/>
    <w:rsid w:val="00D105F2"/>
    <w:rPr>
      <w:vertAlign w:val="superscript"/>
    </w:rPr>
  </w:style>
  <w:style w:type="paragraph" w:styleId="Header">
    <w:name w:val="header"/>
    <w:basedOn w:val="Normal"/>
    <w:link w:val="HeaderChar"/>
    <w:uiPriority w:val="99"/>
    <w:unhideWhenUsed/>
    <w:rsid w:val="00EE188E"/>
    <w:pPr>
      <w:tabs>
        <w:tab w:val="center" w:pos="4680"/>
        <w:tab w:val="right" w:pos="9360"/>
      </w:tabs>
    </w:pPr>
  </w:style>
  <w:style w:type="character" w:customStyle="1" w:styleId="HeaderChar">
    <w:name w:val="Header Char"/>
    <w:basedOn w:val="DefaultParagraphFont"/>
    <w:link w:val="Header"/>
    <w:uiPriority w:val="99"/>
    <w:rsid w:val="00EE188E"/>
    <w:rPr>
      <w:sz w:val="24"/>
      <w:szCs w:val="24"/>
    </w:rPr>
  </w:style>
  <w:style w:type="paragraph" w:styleId="Footer">
    <w:name w:val="footer"/>
    <w:basedOn w:val="Normal"/>
    <w:link w:val="FooterChar"/>
    <w:uiPriority w:val="99"/>
    <w:unhideWhenUsed/>
    <w:rsid w:val="00EE188E"/>
    <w:pPr>
      <w:tabs>
        <w:tab w:val="center" w:pos="4680"/>
        <w:tab w:val="right" w:pos="9360"/>
      </w:tabs>
    </w:pPr>
  </w:style>
  <w:style w:type="character" w:customStyle="1" w:styleId="FooterChar">
    <w:name w:val="Footer Char"/>
    <w:basedOn w:val="DefaultParagraphFont"/>
    <w:link w:val="Footer"/>
    <w:uiPriority w:val="99"/>
    <w:rsid w:val="00EE188E"/>
    <w:rPr>
      <w:sz w:val="24"/>
      <w:szCs w:val="24"/>
    </w:rPr>
  </w:style>
  <w:style w:type="character" w:customStyle="1" w:styleId="Mention1">
    <w:name w:val="Mention1"/>
    <w:basedOn w:val="DefaultParagraphFont"/>
    <w:uiPriority w:val="99"/>
    <w:semiHidden/>
    <w:unhideWhenUsed/>
    <w:rsid w:val="00E455FC"/>
    <w:rPr>
      <w:color w:val="2B579A"/>
      <w:shd w:val="clear" w:color="auto" w:fill="E6E6E6"/>
    </w:rPr>
  </w:style>
  <w:style w:type="paragraph" w:styleId="Revision">
    <w:name w:val="Revision"/>
    <w:hidden/>
    <w:uiPriority w:val="99"/>
    <w:semiHidden/>
    <w:rsid w:val="0028122A"/>
    <w:rPr>
      <w:sz w:val="24"/>
      <w:szCs w:val="24"/>
    </w:rPr>
  </w:style>
  <w:style w:type="character" w:customStyle="1" w:styleId="Mention2">
    <w:name w:val="Mention2"/>
    <w:basedOn w:val="DefaultParagraphFont"/>
    <w:uiPriority w:val="99"/>
    <w:semiHidden/>
    <w:unhideWhenUsed/>
    <w:rsid w:val="00B93F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1340">
      <w:bodyDiv w:val="1"/>
      <w:marLeft w:val="0"/>
      <w:marRight w:val="0"/>
      <w:marTop w:val="0"/>
      <w:marBottom w:val="0"/>
      <w:divBdr>
        <w:top w:val="none" w:sz="0" w:space="0" w:color="auto"/>
        <w:left w:val="none" w:sz="0" w:space="0" w:color="auto"/>
        <w:bottom w:val="none" w:sz="0" w:space="0" w:color="auto"/>
        <w:right w:val="none" w:sz="0" w:space="0" w:color="auto"/>
      </w:divBdr>
    </w:div>
    <w:div w:id="1159229048">
      <w:bodyDiv w:val="1"/>
      <w:marLeft w:val="0"/>
      <w:marRight w:val="0"/>
      <w:marTop w:val="0"/>
      <w:marBottom w:val="0"/>
      <w:divBdr>
        <w:top w:val="none" w:sz="0" w:space="0" w:color="auto"/>
        <w:left w:val="none" w:sz="0" w:space="0" w:color="auto"/>
        <w:bottom w:val="none" w:sz="0" w:space="0" w:color="auto"/>
        <w:right w:val="none" w:sz="0" w:space="0" w:color="auto"/>
      </w:divBdr>
    </w:div>
    <w:div w:id="1597402375">
      <w:bodyDiv w:val="1"/>
      <w:marLeft w:val="0"/>
      <w:marRight w:val="0"/>
      <w:marTop w:val="0"/>
      <w:marBottom w:val="0"/>
      <w:divBdr>
        <w:top w:val="none" w:sz="0" w:space="0" w:color="auto"/>
        <w:left w:val="none" w:sz="0" w:space="0" w:color="auto"/>
        <w:bottom w:val="none" w:sz="0" w:space="0" w:color="auto"/>
        <w:right w:val="none" w:sz="0" w:space="0" w:color="auto"/>
      </w:divBdr>
    </w:div>
    <w:div w:id="1678118178">
      <w:bodyDiv w:val="1"/>
      <w:marLeft w:val="0"/>
      <w:marRight w:val="0"/>
      <w:marTop w:val="0"/>
      <w:marBottom w:val="0"/>
      <w:divBdr>
        <w:top w:val="none" w:sz="0" w:space="0" w:color="auto"/>
        <w:left w:val="none" w:sz="0" w:space="0" w:color="auto"/>
        <w:bottom w:val="none" w:sz="0" w:space="0" w:color="auto"/>
        <w:right w:val="none" w:sz="0" w:space="0" w:color="auto"/>
      </w:divBdr>
    </w:div>
    <w:div w:id="2103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suh@telado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ura.Siefring@gci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leod@telado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ladoc.com/bestdoctorsannouncement" TargetMode="External"/><Relationship Id="rId4" Type="http://schemas.openxmlformats.org/officeDocument/2006/relationships/settings" Target="settings.xml"/><Relationship Id="rId9" Type="http://schemas.openxmlformats.org/officeDocument/2006/relationships/hyperlink" Target="https://www.telado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13E9-EE87-465F-B63F-BB64568E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Jisoo</dc:creator>
  <cp:lastModifiedBy>Peterson, Alexandra</cp:lastModifiedBy>
  <cp:revision>2</cp:revision>
  <cp:lastPrinted>2017-07-14T19:15:00Z</cp:lastPrinted>
  <dcterms:created xsi:type="dcterms:W3CDTF">2017-07-14T22:46:00Z</dcterms:created>
  <dcterms:modified xsi:type="dcterms:W3CDTF">2017-07-14T22:46:00Z</dcterms:modified>
</cp:coreProperties>
</file>