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5" w:rsidRPr="00F54F00" w:rsidRDefault="004E59A5" w:rsidP="009C0D2D">
      <w:pPr>
        <w:spacing w:before="270" w:after="100" w:afterAutospacing="1" w:line="240" w:lineRule="auto"/>
        <w:ind w:right="49"/>
        <w:jc w:val="right"/>
        <w:outlineLvl w:val="2"/>
        <w:rPr>
          <w:rFonts w:ascii="Arial" w:eastAsia="Times New Roman" w:hAnsi="Arial" w:cs="Arial"/>
          <w:b/>
          <w:bCs/>
          <w:noProof w:val="0"/>
          <w:sz w:val="15"/>
          <w:szCs w:val="15"/>
          <w:lang w:val="en-US"/>
        </w:rPr>
      </w:pPr>
    </w:p>
    <w:p w:rsidR="004E59A5" w:rsidRDefault="004E59A5" w:rsidP="004E59A5">
      <w:pPr>
        <w:spacing w:before="270" w:after="100" w:afterAutospacing="1" w:line="240" w:lineRule="auto"/>
        <w:ind w:right="525"/>
        <w:jc w:val="right"/>
        <w:outlineLvl w:val="2"/>
        <w:rPr>
          <w:rFonts w:ascii="Arial" w:eastAsia="Times New Roman" w:hAnsi="Arial" w:cs="Arial"/>
          <w:b/>
          <w:bCs/>
          <w:noProof w:val="0"/>
          <w:sz w:val="15"/>
          <w:szCs w:val="15"/>
          <w:lang w:val="en-US"/>
        </w:rPr>
      </w:pPr>
    </w:p>
    <w:p w:rsidR="00EA3B36" w:rsidRPr="00F54F00" w:rsidRDefault="00EA3B36" w:rsidP="004E59A5">
      <w:pPr>
        <w:spacing w:before="270" w:after="100" w:afterAutospacing="1" w:line="240" w:lineRule="auto"/>
        <w:ind w:right="525"/>
        <w:jc w:val="right"/>
        <w:outlineLvl w:val="2"/>
        <w:rPr>
          <w:rFonts w:ascii="Arial" w:eastAsia="Times New Roman" w:hAnsi="Arial" w:cs="Arial"/>
          <w:b/>
          <w:bCs/>
          <w:noProof w:val="0"/>
          <w:sz w:val="15"/>
          <w:szCs w:val="15"/>
          <w:lang w:val="en-US"/>
        </w:rPr>
      </w:pPr>
      <w:bookmarkStart w:id="0" w:name="_GoBack"/>
      <w:bookmarkEnd w:id="0"/>
    </w:p>
    <w:p w:rsidR="009E0FE9" w:rsidRPr="00F54F00" w:rsidRDefault="009C0D2D" w:rsidP="009C0D2D">
      <w:pPr>
        <w:tabs>
          <w:tab w:val="left" w:pos="9356"/>
        </w:tabs>
        <w:spacing w:before="270" w:after="100" w:afterAutospacing="1" w:line="240" w:lineRule="auto"/>
        <w:ind w:right="333"/>
        <w:jc w:val="right"/>
        <w:outlineLvl w:val="2"/>
        <w:rPr>
          <w:rFonts w:ascii="Arial" w:eastAsia="Times New Roman" w:hAnsi="Arial" w:cs="Arial"/>
          <w:noProof w:val="0"/>
          <w:lang w:val="en-US"/>
        </w:rPr>
      </w:pPr>
      <w:r>
        <w:rPr>
          <w:rFonts w:ascii="Arial" w:eastAsia="Times New Roman" w:hAnsi="Arial" w:cs="Arial"/>
          <w:noProof w:val="0"/>
          <w:lang w:val="en-US"/>
        </w:rPr>
        <w:t>Copenhagen, September 20, 2018</w:t>
      </w:r>
    </w:p>
    <w:p w:rsidR="004E59A5" w:rsidRPr="00F54F00" w:rsidRDefault="009E0FE9" w:rsidP="009C0D2D">
      <w:pPr>
        <w:spacing w:before="270" w:after="100" w:afterAutospacing="1" w:line="240" w:lineRule="auto"/>
        <w:ind w:right="333"/>
        <w:outlineLvl w:val="2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F54F00">
        <w:rPr>
          <w:rFonts w:ascii="Arial" w:eastAsia="Times New Roman" w:hAnsi="Arial" w:cs="Arial"/>
          <w:b/>
          <w:bCs/>
          <w:noProof w:val="0"/>
          <w:lang w:val="en-US"/>
        </w:rPr>
        <w:t>Exchange Notice</w:t>
      </w:r>
      <w:r w:rsidRPr="00F54F00">
        <w:rPr>
          <w:rFonts w:ascii="Arial" w:eastAsia="Times New Roman" w:hAnsi="Arial" w:cs="Arial"/>
          <w:noProof w:val="0"/>
          <w:lang w:val="en-US"/>
        </w:rPr>
        <w:br/>
      </w:r>
      <w:r w:rsidRPr="00F54F00">
        <w:rPr>
          <w:rFonts w:ascii="Arial" w:eastAsia="Times New Roman" w:hAnsi="Arial" w:cs="Arial"/>
          <w:noProof w:val="0"/>
          <w:lang w:val="en-US"/>
        </w:rPr>
        <w:br/>
      </w:r>
    </w:p>
    <w:p w:rsidR="004E59A5" w:rsidRPr="00F54F00" w:rsidRDefault="004E59A5" w:rsidP="009E0FE9">
      <w:pPr>
        <w:spacing w:before="270" w:after="100" w:afterAutospacing="1" w:line="240" w:lineRule="auto"/>
        <w:outlineLvl w:val="2"/>
        <w:rPr>
          <w:rFonts w:ascii="Arial" w:eastAsia="Times New Roman" w:hAnsi="Arial" w:cs="Arial"/>
          <w:noProof w:val="0"/>
          <w:sz w:val="28"/>
          <w:szCs w:val="28"/>
          <w:lang w:val="en-US"/>
        </w:rPr>
      </w:pPr>
    </w:p>
    <w:p w:rsidR="004E59A5" w:rsidRPr="00F54F00" w:rsidRDefault="00327D0D" w:rsidP="009E0FE9">
      <w:pPr>
        <w:spacing w:before="270" w:after="100" w:afterAutospacing="1" w:line="240" w:lineRule="auto"/>
        <w:outlineLvl w:val="2"/>
        <w:rPr>
          <w:rFonts w:ascii="Arial" w:eastAsia="Times New Roman" w:hAnsi="Arial" w:cs="Arial"/>
          <w:noProof w:val="0"/>
          <w:lang w:val="en-US"/>
        </w:rPr>
      </w:pPr>
      <w:r w:rsidRPr="00F54F00">
        <w:rPr>
          <w:rFonts w:ascii="Arial" w:eastAsia="Times New Roman" w:hAnsi="Arial" w:cs="Arial"/>
          <w:noProof w:val="0"/>
          <w:sz w:val="28"/>
          <w:szCs w:val="28"/>
          <w:lang w:val="en-US"/>
        </w:rPr>
        <w:t>Index f</w:t>
      </w:r>
      <w:r w:rsidR="009E0FE9" w:rsidRPr="00F54F00">
        <w:rPr>
          <w:rFonts w:ascii="Arial" w:eastAsia="Times New Roman" w:hAnsi="Arial" w:cs="Arial"/>
          <w:noProof w:val="0"/>
          <w:sz w:val="28"/>
          <w:szCs w:val="28"/>
          <w:lang w:val="en-US"/>
        </w:rPr>
        <w:t>actor 1 and 2</w:t>
      </w:r>
      <w:r w:rsidR="009E0FE9" w:rsidRPr="00F54F00">
        <w:rPr>
          <w:rFonts w:ascii="Arial" w:eastAsia="Times New Roman" w:hAnsi="Arial" w:cs="Arial"/>
          <w:b/>
          <w:bCs/>
          <w:noProof w:val="0"/>
          <w:sz w:val="28"/>
          <w:szCs w:val="28"/>
          <w:lang w:val="en-US"/>
        </w:rPr>
        <w:br/>
      </w:r>
    </w:p>
    <w:p w:rsidR="009E0FE9" w:rsidRPr="00F54F00" w:rsidRDefault="009E0FE9" w:rsidP="009C0D2D">
      <w:pPr>
        <w:spacing w:before="270" w:after="100" w:afterAutospacing="1" w:line="240" w:lineRule="auto"/>
        <w:ind w:right="333"/>
        <w:outlineLvl w:val="2"/>
        <w:rPr>
          <w:rFonts w:ascii="Arial" w:eastAsia="Times New Roman" w:hAnsi="Arial" w:cs="Arial"/>
          <w:noProof w:val="0"/>
          <w:lang w:val="en-US"/>
        </w:rPr>
      </w:pPr>
      <w:r w:rsidRPr="00F54F00">
        <w:rPr>
          <w:rFonts w:ascii="Arial" w:eastAsia="Times New Roman" w:hAnsi="Arial" w:cs="Arial"/>
          <w:noProof w:val="0"/>
          <w:lang w:val="en-US"/>
        </w:rPr>
        <w:t>On the basis of the development of the net consume</w:t>
      </w:r>
      <w:r w:rsidR="003D4D11" w:rsidRPr="00F54F00">
        <w:rPr>
          <w:rFonts w:ascii="Arial" w:eastAsia="Times New Roman" w:hAnsi="Arial" w:cs="Arial"/>
          <w:noProof w:val="0"/>
          <w:lang w:val="en-US"/>
        </w:rPr>
        <w:t>r-price index from November 2017 to May 2018</w:t>
      </w:r>
      <w:r w:rsidRPr="00F54F00">
        <w:rPr>
          <w:rFonts w:ascii="Arial" w:eastAsia="Times New Roman" w:hAnsi="Arial" w:cs="Arial"/>
          <w:noProof w:val="0"/>
          <w:lang w:val="en-US"/>
        </w:rPr>
        <w:t xml:space="preserve"> and the development of the indices of average earnings in the private sector during the same period, new index factors have been calculated and will be effective</w:t>
      </w:r>
      <w:r w:rsidR="003D4D11" w:rsidRPr="00F54F00">
        <w:rPr>
          <w:rFonts w:ascii="Arial" w:eastAsia="Times New Roman" w:hAnsi="Arial" w:cs="Arial"/>
          <w:noProof w:val="0"/>
          <w:lang w:val="en-US"/>
        </w:rPr>
        <w:t xml:space="preserve"> as from June 30 2019</w:t>
      </w:r>
      <w:r w:rsidRPr="00F54F00">
        <w:rPr>
          <w:rFonts w:ascii="Arial" w:eastAsia="Times New Roman" w:hAnsi="Arial" w:cs="Arial"/>
          <w:noProof w:val="0"/>
          <w:lang w:val="en-US"/>
        </w:rPr>
        <w:t>:</w:t>
      </w:r>
      <w:r w:rsidRPr="00F54F00">
        <w:rPr>
          <w:rFonts w:ascii="Arial" w:eastAsia="Times New Roman" w:hAnsi="Arial" w:cs="Arial"/>
          <w:noProof w:val="0"/>
          <w:lang w:val="en-US"/>
        </w:rPr>
        <w:br/>
      </w:r>
      <w:r w:rsidRPr="00F54F00">
        <w:rPr>
          <w:rFonts w:ascii="Arial" w:eastAsia="Times New Roman" w:hAnsi="Arial" w:cs="Arial"/>
          <w:b/>
          <w:bCs/>
          <w:noProof w:val="0"/>
          <w:sz w:val="28"/>
          <w:szCs w:val="28"/>
          <w:lang w:val="en-US"/>
        </w:rPr>
        <w:br/>
      </w:r>
      <w:r w:rsidRPr="00F54F00">
        <w:rPr>
          <w:rFonts w:ascii="Arial" w:eastAsia="Times New Roman" w:hAnsi="Arial" w:cs="Arial"/>
          <w:noProof w:val="0"/>
          <w:lang w:val="en-US"/>
        </w:rPr>
        <w:t>Index factor 1, owner-occupied dwelling, principal:</w:t>
      </w:r>
      <w:r w:rsidR="00D1174A" w:rsidRPr="00F54F00">
        <w:rPr>
          <w:rFonts w:ascii="Arial" w:eastAsia="Times New Roman" w:hAnsi="Arial" w:cs="Arial"/>
          <w:noProof w:val="0"/>
          <w:lang w:val="en-US"/>
        </w:rPr>
        <w:t xml:space="preserve"> 205,441</w:t>
      </w:r>
      <w:r w:rsidRPr="00F54F00">
        <w:rPr>
          <w:rFonts w:ascii="Arial" w:eastAsia="Times New Roman" w:hAnsi="Arial" w:cs="Arial"/>
          <w:b/>
          <w:bCs/>
          <w:noProof w:val="0"/>
          <w:sz w:val="28"/>
          <w:szCs w:val="28"/>
          <w:lang w:val="en-US"/>
        </w:rPr>
        <w:br/>
      </w:r>
      <w:r w:rsidRPr="00F54F00">
        <w:rPr>
          <w:rFonts w:ascii="Arial" w:eastAsia="Times New Roman" w:hAnsi="Arial" w:cs="Arial"/>
          <w:noProof w:val="0"/>
          <w:lang w:val="en-US"/>
        </w:rPr>
        <w:br/>
        <w:t>Index factor 2, subsidized housing, principal:</w:t>
      </w:r>
      <w:r w:rsidR="00D1174A" w:rsidRPr="00F54F00">
        <w:rPr>
          <w:rFonts w:ascii="Arial" w:eastAsia="Times New Roman" w:hAnsi="Arial" w:cs="Arial"/>
          <w:noProof w:val="0"/>
          <w:lang w:val="en-US"/>
        </w:rPr>
        <w:t xml:space="preserve"> 172,192</w:t>
      </w:r>
      <w:r w:rsidRPr="00F54F00">
        <w:rPr>
          <w:rFonts w:ascii="Arial" w:eastAsia="Times New Roman" w:hAnsi="Arial" w:cs="Arial"/>
          <w:noProof w:val="0"/>
          <w:lang w:val="en-US"/>
        </w:rPr>
        <w:br/>
      </w:r>
      <w:r w:rsidRPr="00F54F00">
        <w:rPr>
          <w:rFonts w:ascii="Arial" w:eastAsia="Times New Roman" w:hAnsi="Arial" w:cs="Arial"/>
          <w:b/>
          <w:bCs/>
          <w:noProof w:val="0"/>
          <w:sz w:val="28"/>
          <w:szCs w:val="28"/>
          <w:lang w:val="en-US"/>
        </w:rPr>
        <w:br/>
      </w:r>
      <w:r w:rsidRPr="00F54F00">
        <w:rPr>
          <w:rFonts w:ascii="Arial" w:eastAsia="Times New Roman" w:hAnsi="Arial" w:cs="Arial"/>
          <w:noProof w:val="0"/>
          <w:lang w:val="en-US"/>
        </w:rPr>
        <w:t xml:space="preserve">For further information concerning this exchange notice please contact Maria Staal, telephone </w:t>
      </w:r>
      <w:r w:rsidR="00F87A72" w:rsidRPr="00F54F00">
        <w:rPr>
          <w:rFonts w:ascii="Arial" w:eastAsia="Times New Roman" w:hAnsi="Arial" w:cs="Arial"/>
          <w:noProof w:val="0"/>
          <w:lang w:val="en-US"/>
        </w:rPr>
        <w:br/>
      </w:r>
      <w:r w:rsidRPr="00F54F00">
        <w:rPr>
          <w:rFonts w:ascii="Arial" w:eastAsia="Times New Roman" w:hAnsi="Arial" w:cs="Arial"/>
          <w:noProof w:val="0"/>
          <w:lang w:val="en-US"/>
        </w:rPr>
        <w:t>+45</w:t>
      </w:r>
      <w:r w:rsidR="00D1174A" w:rsidRPr="00F54F00">
        <w:rPr>
          <w:rFonts w:ascii="Arial" w:eastAsia="Times New Roman" w:hAnsi="Arial" w:cs="Arial"/>
          <w:noProof w:val="0"/>
          <w:lang w:val="en-US"/>
        </w:rPr>
        <w:t xml:space="preserve"> 3377 03</w:t>
      </w:r>
      <w:r w:rsidR="003C1CA9" w:rsidRPr="00F54F00">
        <w:rPr>
          <w:rFonts w:ascii="Arial" w:eastAsia="Times New Roman" w:hAnsi="Arial" w:cs="Arial"/>
          <w:noProof w:val="0"/>
          <w:lang w:val="en-US"/>
        </w:rPr>
        <w:t>53</w:t>
      </w:r>
      <w:r w:rsidRPr="00F54F00">
        <w:rPr>
          <w:rFonts w:ascii="Arial" w:eastAsia="Times New Roman" w:hAnsi="Arial" w:cs="Arial"/>
          <w:noProof w:val="0"/>
          <w:lang w:val="en-US"/>
        </w:rPr>
        <w:t>.</w:t>
      </w:r>
      <w:r w:rsidR="002555C8" w:rsidRPr="00F54F00">
        <w:rPr>
          <w:rFonts w:ascii="Arial" w:eastAsia="Times New Roman" w:hAnsi="Arial" w:cs="Arial"/>
          <w:noProof w:val="0"/>
          <w:lang w:val="en-US"/>
        </w:rPr>
        <w:br/>
      </w:r>
      <w:r w:rsidR="002555C8" w:rsidRPr="00F54F00">
        <w:rPr>
          <w:rFonts w:ascii="Arial" w:eastAsia="Times New Roman" w:hAnsi="Arial" w:cs="Arial"/>
          <w:noProof w:val="0"/>
          <w:lang w:val="en-US"/>
        </w:rPr>
        <w:br/>
        <w:t>Nasdaq</w:t>
      </w:r>
      <w:r w:rsidRPr="00F54F00">
        <w:rPr>
          <w:rFonts w:ascii="Arial" w:eastAsia="Times New Roman" w:hAnsi="Arial" w:cs="Arial"/>
          <w:noProof w:val="0"/>
          <w:lang w:val="en-US"/>
        </w:rPr>
        <w:t xml:space="preserve"> Copenhagen A/S</w:t>
      </w:r>
    </w:p>
    <w:p w:rsidR="00504DC2" w:rsidRPr="0064242D" w:rsidRDefault="00504DC2" w:rsidP="009E0FE9">
      <w:pPr>
        <w:rPr>
          <w:rFonts w:ascii="Times New Roman" w:hAnsi="Times New Roman" w:cs="Times New Roman"/>
          <w:lang w:val="en-US"/>
        </w:rPr>
      </w:pPr>
    </w:p>
    <w:sectPr w:rsidR="00504DC2" w:rsidRPr="0064242D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2D" w:rsidRDefault="0044252D" w:rsidP="004E59A5">
      <w:pPr>
        <w:spacing w:after="0" w:line="240" w:lineRule="auto"/>
      </w:pPr>
      <w:r>
        <w:separator/>
      </w:r>
    </w:p>
  </w:endnote>
  <w:endnote w:type="continuationSeparator" w:id="0">
    <w:p w:rsidR="0044252D" w:rsidRDefault="0044252D" w:rsidP="004E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2D" w:rsidRDefault="0044252D" w:rsidP="004E59A5">
      <w:pPr>
        <w:spacing w:after="0" w:line="240" w:lineRule="auto"/>
      </w:pPr>
      <w:r>
        <w:separator/>
      </w:r>
    </w:p>
  </w:footnote>
  <w:footnote w:type="continuationSeparator" w:id="0">
    <w:p w:rsidR="0044252D" w:rsidRDefault="0044252D" w:rsidP="004E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5" w:rsidRDefault="00AA7F70" w:rsidP="009C0D2D">
    <w:pPr>
      <w:pStyle w:val="Header"/>
      <w:tabs>
        <w:tab w:val="clear" w:pos="9972"/>
        <w:tab w:val="right" w:pos="9781"/>
      </w:tabs>
      <w:ind w:right="333"/>
      <w:jc w:val="right"/>
    </w:pPr>
    <w:r>
      <w:rPr>
        <w:color w:val="0000FF"/>
      </w:rPr>
      <w:drawing>
        <wp:inline distT="0" distB="0" distL="0" distR="0">
          <wp:extent cx="1891146" cy="585995"/>
          <wp:effectExtent l="0" t="0" r="0" b="5080"/>
          <wp:docPr id="5" name="Picture 5" descr="Billedresultat for nasdaq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nasdaq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94" cy="58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2555C8"/>
    <w:rsid w:val="00327D0D"/>
    <w:rsid w:val="003C1CA9"/>
    <w:rsid w:val="003D4D11"/>
    <w:rsid w:val="0044252D"/>
    <w:rsid w:val="004E59A5"/>
    <w:rsid w:val="00504DC2"/>
    <w:rsid w:val="0064242D"/>
    <w:rsid w:val="00793753"/>
    <w:rsid w:val="009C0D2D"/>
    <w:rsid w:val="009E0FE9"/>
    <w:rsid w:val="00A27032"/>
    <w:rsid w:val="00AA7F70"/>
    <w:rsid w:val="00CB30F7"/>
    <w:rsid w:val="00D10FC9"/>
    <w:rsid w:val="00D1174A"/>
    <w:rsid w:val="00D473F0"/>
    <w:rsid w:val="00EA3B36"/>
    <w:rsid w:val="00F54F00"/>
    <w:rsid w:val="00F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5852-AE11-46BF-894B-454CCDD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da-DK"/>
    </w:rPr>
  </w:style>
  <w:style w:type="paragraph" w:styleId="Heading3">
    <w:name w:val="heading 3"/>
    <w:basedOn w:val="Normal"/>
    <w:link w:val="Heading3Char"/>
    <w:uiPriority w:val="9"/>
    <w:qFormat/>
    <w:rsid w:val="009E0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paragraph" w:styleId="Heading6">
    <w:name w:val="heading 6"/>
    <w:basedOn w:val="Normal"/>
    <w:link w:val="Heading6Char"/>
    <w:uiPriority w:val="9"/>
    <w:qFormat/>
    <w:rsid w:val="009E0F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0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FE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0F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9E0FE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9E0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A5"/>
    <w:rPr>
      <w:rFonts w:ascii="Tahoma" w:hAnsi="Tahoma" w:cs="Tahoma"/>
      <w:noProof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4E59A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A5"/>
    <w:rPr>
      <w:noProof/>
      <w:lang w:val="da-DK"/>
    </w:rPr>
  </w:style>
  <w:style w:type="paragraph" w:styleId="Footer">
    <w:name w:val="footer"/>
    <w:basedOn w:val="Normal"/>
    <w:link w:val="FooterChar"/>
    <w:uiPriority w:val="99"/>
    <w:unhideWhenUsed/>
    <w:rsid w:val="004E59A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A5"/>
    <w:rPr>
      <w:noProof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55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328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87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5" w:color="888888"/>
                            <w:bottom w:val="dashed" w:sz="6" w:space="15" w:color="888888"/>
                            <w:right w:val="dashed" w:sz="6" w:space="15" w:color="888888"/>
                          </w:divBdr>
                          <w:divsChild>
                            <w:div w:id="10929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k/url?sa=i&amp;rct=j&amp;q=&amp;esrc=s&amp;source=images&amp;cd=&amp;cad=rja&amp;uact=8&amp;ved=0ahUKEwiz8MLA0v_WAhUiJJoKHUirAzEQjRwIBw&amp;url=https://en.wikipedia.org/wiki/File:Nasdaq_logo.svg&amp;psig=AOvVaw3IiyyYFJiaYkI9Vsh8GhKT&amp;ust=1508604123077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Copenhagen, September 20, 2018</vt:lpstr>
      <vt:lpstr>        Exchange Notice  </vt:lpstr>
      <vt:lpstr>        </vt:lpstr>
      <vt:lpstr>        Index factor 1 and 2 </vt:lpstr>
      <vt:lpstr>        On the basis of the development of the net consumer-price index from November 20</vt:lpstr>
    </vt:vector>
  </TitlesOfParts>
  <Company>The Nasdaq OMX Group, Inc.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Staal</dc:creator>
  <cp:lastModifiedBy>Maria Staal</cp:lastModifiedBy>
  <cp:revision>7</cp:revision>
  <cp:lastPrinted>2018-09-20T12:13:00Z</cp:lastPrinted>
  <dcterms:created xsi:type="dcterms:W3CDTF">2018-09-20T12:00:00Z</dcterms:created>
  <dcterms:modified xsi:type="dcterms:W3CDTF">2018-09-20T12:47:00Z</dcterms:modified>
</cp:coreProperties>
</file>