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9E3" w:rsidRPr="00353FCF" w:rsidRDefault="00BA7E83" w:rsidP="00011A36">
      <w:pPr>
        <w:rPr>
          <w:rFonts w:ascii="Verdana" w:hAnsi="Verdana"/>
          <w:i/>
          <w:sz w:val="20"/>
          <w:szCs w:val="20"/>
          <w:lang w:val="en-GB"/>
        </w:rPr>
      </w:pPr>
      <w:r w:rsidRPr="00BA7E83">
        <w:rPr>
          <w:noProof/>
          <w:lang w:val="en-GB"/>
        </w:rPr>
        <w:pict>
          <v:line id="_x0000_s1026" style="position:absolute;z-index:251658240" from="0,65.75pt" to="441pt,65.75pt" strokecolor="#969696"/>
        </w:pict>
      </w:r>
      <w:r w:rsidR="00F4623F" w:rsidRPr="00353FCF">
        <w:rPr>
          <w:rFonts w:ascii="Verdana" w:hAnsi="Verdana"/>
          <w:i/>
          <w:noProof/>
          <w:sz w:val="20"/>
          <w:szCs w:val="20"/>
        </w:rPr>
        <w:drawing>
          <wp:inline distT="0" distB="0" distL="0" distR="0">
            <wp:extent cx="1932305" cy="707390"/>
            <wp:effectExtent l="19050" t="0" r="0" b="0"/>
            <wp:docPr id="1" name="Picture 1" descr="mare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el_logo"/>
                    <pic:cNvPicPr>
                      <a:picLocks noChangeAspect="1" noChangeArrowheads="1"/>
                    </pic:cNvPicPr>
                  </pic:nvPicPr>
                  <pic:blipFill>
                    <a:blip r:embed="rId8"/>
                    <a:srcRect/>
                    <a:stretch>
                      <a:fillRect/>
                    </a:stretch>
                  </pic:blipFill>
                  <pic:spPr bwMode="auto">
                    <a:xfrm>
                      <a:off x="0" y="0"/>
                      <a:ext cx="1932305" cy="707390"/>
                    </a:xfrm>
                    <a:prstGeom prst="rect">
                      <a:avLst/>
                    </a:prstGeom>
                    <a:noFill/>
                    <a:ln w="9525">
                      <a:noFill/>
                      <a:miter lim="800000"/>
                      <a:headEnd/>
                      <a:tailEnd/>
                    </a:ln>
                  </pic:spPr>
                </pic:pic>
              </a:graphicData>
            </a:graphic>
          </wp:inline>
        </w:drawing>
      </w:r>
      <w:r w:rsidR="00BE39E3" w:rsidRPr="00353FCF">
        <w:rPr>
          <w:rFonts w:ascii="Verdana" w:hAnsi="Verdana"/>
          <w:i/>
          <w:sz w:val="20"/>
          <w:szCs w:val="20"/>
          <w:lang w:val="en-GB"/>
        </w:rPr>
        <w:br/>
      </w:r>
    </w:p>
    <w:p w:rsidR="00BE39E3" w:rsidRPr="00353FCF" w:rsidRDefault="00BE39E3" w:rsidP="00011A36">
      <w:pPr>
        <w:rPr>
          <w:rFonts w:ascii="Verdana" w:hAnsi="Verdana"/>
          <w:i/>
          <w:sz w:val="20"/>
          <w:szCs w:val="20"/>
          <w:lang w:val="en-GB"/>
        </w:rPr>
      </w:pPr>
    </w:p>
    <w:tbl>
      <w:tblPr>
        <w:tblW w:w="9828" w:type="dxa"/>
        <w:tblLook w:val="0000"/>
      </w:tblPr>
      <w:tblGrid>
        <w:gridCol w:w="6048"/>
        <w:gridCol w:w="3780"/>
      </w:tblGrid>
      <w:tr w:rsidR="00BE39E3" w:rsidRPr="00353FCF" w:rsidTr="00011A36">
        <w:tc>
          <w:tcPr>
            <w:tcW w:w="6048" w:type="dxa"/>
          </w:tcPr>
          <w:p w:rsidR="00BE39E3" w:rsidRPr="00353FCF" w:rsidRDefault="00613DB6" w:rsidP="00011A36">
            <w:pPr>
              <w:rPr>
                <w:rFonts w:ascii="Arial" w:hAnsi="Arial" w:cs="Arial"/>
                <w:sz w:val="20"/>
                <w:szCs w:val="20"/>
                <w:lang w:val="en-GB"/>
              </w:rPr>
            </w:pPr>
            <w:r w:rsidRPr="00353FCF">
              <w:rPr>
                <w:rFonts w:ascii="Arial" w:hAnsi="Arial" w:cs="Arial"/>
                <w:b/>
                <w:lang w:val="en-GB"/>
              </w:rPr>
              <w:t>PRESS RELEASE</w:t>
            </w:r>
            <w:r w:rsidR="00BE39E3" w:rsidRPr="00353FCF">
              <w:rPr>
                <w:rFonts w:ascii="Arial" w:hAnsi="Arial" w:cs="Arial"/>
                <w:b/>
                <w:sz w:val="20"/>
                <w:szCs w:val="20"/>
                <w:lang w:val="en-GB"/>
              </w:rPr>
              <w:br/>
            </w:r>
            <w:r w:rsidR="009A5F49" w:rsidRPr="00353FCF">
              <w:rPr>
                <w:rFonts w:ascii="Arial" w:hAnsi="Arial" w:cs="Arial"/>
                <w:sz w:val="20"/>
                <w:szCs w:val="20"/>
                <w:lang w:val="en-GB"/>
              </w:rPr>
              <w:t>10</w:t>
            </w:r>
            <w:r w:rsidRPr="00353FCF">
              <w:rPr>
                <w:rFonts w:ascii="Arial" w:hAnsi="Arial" w:cs="Arial"/>
                <w:sz w:val="20"/>
                <w:szCs w:val="20"/>
                <w:lang w:val="en-GB"/>
              </w:rPr>
              <w:t xml:space="preserve"> February</w:t>
            </w:r>
            <w:r w:rsidR="009A5F49" w:rsidRPr="00353FCF">
              <w:rPr>
                <w:rFonts w:ascii="Arial" w:hAnsi="Arial" w:cs="Arial"/>
                <w:sz w:val="20"/>
                <w:szCs w:val="20"/>
                <w:lang w:val="en-GB"/>
              </w:rPr>
              <w:t xml:space="preserve"> 2009</w:t>
            </w:r>
          </w:p>
          <w:p w:rsidR="00BE39E3" w:rsidRPr="00353FCF" w:rsidRDefault="00BE39E3" w:rsidP="00011A36">
            <w:pPr>
              <w:rPr>
                <w:rFonts w:ascii="Arial" w:hAnsi="Arial" w:cs="Arial"/>
                <w:b/>
                <w:bCs/>
                <w:sz w:val="20"/>
                <w:szCs w:val="20"/>
                <w:lang w:val="en-GB"/>
              </w:rPr>
            </w:pPr>
          </w:p>
        </w:tc>
        <w:tc>
          <w:tcPr>
            <w:tcW w:w="3780" w:type="dxa"/>
          </w:tcPr>
          <w:p w:rsidR="00BE39E3" w:rsidRPr="00353FCF" w:rsidRDefault="00BE39E3" w:rsidP="00A96A04">
            <w:pPr>
              <w:rPr>
                <w:rFonts w:ascii="Arial" w:hAnsi="Arial" w:cs="Arial"/>
                <w:b/>
                <w:bCs/>
                <w:sz w:val="20"/>
                <w:szCs w:val="20"/>
                <w:lang w:val="en-GB"/>
              </w:rPr>
            </w:pPr>
          </w:p>
        </w:tc>
      </w:tr>
    </w:tbl>
    <w:p w:rsidR="00147D83" w:rsidRPr="00353FCF" w:rsidRDefault="00147D83" w:rsidP="00147D83">
      <w:pPr>
        <w:pStyle w:val="Text"/>
        <w:spacing w:before="120"/>
        <w:rPr>
          <w:rFonts w:ascii="Verdana" w:hAnsi="Verdana"/>
          <w:b/>
          <w:noProof/>
          <w:sz w:val="24"/>
          <w:szCs w:val="24"/>
          <w:lang w:val="en-GB"/>
        </w:rPr>
      </w:pPr>
      <w:r w:rsidRPr="00353FCF">
        <w:rPr>
          <w:rFonts w:ascii="Verdana" w:hAnsi="Verdana"/>
          <w:b/>
          <w:noProof/>
          <w:sz w:val="24"/>
          <w:szCs w:val="24"/>
          <w:lang w:val="en-GB"/>
        </w:rPr>
        <w:t>Marel Food Systems 2008 results</w:t>
      </w:r>
    </w:p>
    <w:p w:rsidR="00147D83" w:rsidRPr="00353FCF" w:rsidRDefault="00147D83" w:rsidP="00147D83">
      <w:pPr>
        <w:pStyle w:val="Text"/>
        <w:spacing w:before="120"/>
        <w:rPr>
          <w:rFonts w:ascii="Verdana" w:hAnsi="Verdana"/>
          <w:b/>
          <w:noProof/>
          <w:sz w:val="24"/>
          <w:szCs w:val="24"/>
          <w:lang w:val="en-GB"/>
        </w:rPr>
      </w:pPr>
    </w:p>
    <w:p w:rsidR="00147D83" w:rsidRPr="00353FCF" w:rsidRDefault="00EF54F9" w:rsidP="00147D83">
      <w:pPr>
        <w:pStyle w:val="BodyText"/>
        <w:spacing w:before="120"/>
        <w:outlineLvl w:val="0"/>
        <w:rPr>
          <w:rFonts w:ascii="Verdana" w:hAnsi="Verdana"/>
          <w:b/>
          <w:noProof/>
          <w:sz w:val="20"/>
          <w:lang w:val="en-GB"/>
        </w:rPr>
      </w:pPr>
      <w:r>
        <w:rPr>
          <w:rFonts w:ascii="Verdana" w:hAnsi="Verdana"/>
          <w:b/>
          <w:noProof/>
          <w:sz w:val="20"/>
          <w:lang w:val="en-GB"/>
        </w:rPr>
        <w:t xml:space="preserve">4.4% sales growth and 8.5% profit from operations (EBIT </w:t>
      </w:r>
      <w:r w:rsidRPr="00D856F2">
        <w:rPr>
          <w:rFonts w:ascii="Verdana" w:hAnsi="Verdana"/>
          <w:b/>
          <w:noProof/>
          <w:sz w:val="18"/>
          <w:szCs w:val="18"/>
          <w:lang w:val="en-GB"/>
        </w:rPr>
        <w:t>excluding one-time costs</w:t>
      </w:r>
      <w:r>
        <w:rPr>
          <w:rFonts w:ascii="Verdana" w:hAnsi="Verdana"/>
          <w:b/>
          <w:noProof/>
          <w:sz w:val="20"/>
          <w:lang w:val="en-GB"/>
        </w:rPr>
        <w:t>)</w:t>
      </w:r>
    </w:p>
    <w:p w:rsidR="00147D83" w:rsidRPr="006B537B" w:rsidRDefault="00147D83" w:rsidP="00147D83">
      <w:pPr>
        <w:pStyle w:val="BodyText"/>
        <w:numPr>
          <w:ilvl w:val="0"/>
          <w:numId w:val="1"/>
        </w:numPr>
        <w:spacing w:before="120"/>
        <w:ind w:left="357" w:hanging="357"/>
        <w:rPr>
          <w:rFonts w:ascii="Verdana" w:hAnsi="Verdana"/>
          <w:b/>
          <w:noProof/>
          <w:sz w:val="16"/>
          <w:szCs w:val="16"/>
          <w:lang w:val="en-GB"/>
        </w:rPr>
      </w:pPr>
      <w:r w:rsidRPr="006B537B">
        <w:rPr>
          <w:rFonts w:ascii="Verdana" w:hAnsi="Verdana" w:cs="Verdana"/>
          <w:b/>
          <w:bCs/>
          <w:sz w:val="16"/>
          <w:szCs w:val="16"/>
          <w:lang w:val="en-GB"/>
        </w:rPr>
        <w:t xml:space="preserve">Proforma sales of Marel Food System and Stork Food Systems core business for 2008 totalled EUR </w:t>
      </w:r>
      <w:r w:rsidR="009A3EF3" w:rsidRPr="006B537B">
        <w:rPr>
          <w:rFonts w:ascii="Verdana" w:hAnsi="Verdana" w:cs="Verdana"/>
          <w:b/>
          <w:bCs/>
          <w:sz w:val="16"/>
          <w:szCs w:val="16"/>
          <w:lang w:val="en-GB"/>
        </w:rPr>
        <w:t>613.3</w:t>
      </w:r>
      <w:r w:rsidRPr="006B537B">
        <w:rPr>
          <w:rFonts w:ascii="Verdana" w:hAnsi="Verdana" w:cs="Verdana"/>
          <w:b/>
          <w:bCs/>
          <w:sz w:val="16"/>
          <w:szCs w:val="16"/>
          <w:lang w:val="en-GB"/>
        </w:rPr>
        <w:t xml:space="preserve"> million, which is an increase of </w:t>
      </w:r>
      <w:r w:rsidR="009A3EF3" w:rsidRPr="006B537B">
        <w:rPr>
          <w:rFonts w:ascii="Verdana" w:hAnsi="Verdana" w:cs="Verdana"/>
          <w:b/>
          <w:bCs/>
          <w:sz w:val="16"/>
          <w:szCs w:val="16"/>
          <w:lang w:val="en-GB"/>
        </w:rPr>
        <w:t>4.4</w:t>
      </w:r>
      <w:r w:rsidRPr="006B537B">
        <w:rPr>
          <w:rFonts w:ascii="Verdana" w:hAnsi="Verdana" w:cs="Verdana"/>
          <w:b/>
          <w:bCs/>
          <w:sz w:val="16"/>
          <w:szCs w:val="16"/>
          <w:lang w:val="en-GB"/>
        </w:rPr>
        <w:t>% compared with 2007.</w:t>
      </w:r>
    </w:p>
    <w:p w:rsidR="00147D83" w:rsidRDefault="00147D83" w:rsidP="00147D83">
      <w:pPr>
        <w:pStyle w:val="BodyText"/>
        <w:numPr>
          <w:ilvl w:val="0"/>
          <w:numId w:val="1"/>
        </w:numPr>
        <w:spacing w:before="120"/>
        <w:ind w:left="357" w:hanging="357"/>
        <w:rPr>
          <w:rFonts w:ascii="Verdana" w:hAnsi="Verdana"/>
          <w:b/>
          <w:noProof/>
          <w:sz w:val="16"/>
          <w:szCs w:val="16"/>
          <w:lang w:val="en-GB"/>
        </w:rPr>
      </w:pPr>
      <w:r w:rsidRPr="006B537B">
        <w:rPr>
          <w:rFonts w:ascii="Verdana" w:hAnsi="Verdana"/>
          <w:b/>
          <w:noProof/>
          <w:sz w:val="16"/>
          <w:szCs w:val="16"/>
          <w:lang w:val="en-GB"/>
        </w:rPr>
        <w:t>Proforma profit from operations (EBIT)</w:t>
      </w:r>
      <w:r w:rsidR="009A73F9">
        <w:rPr>
          <w:rFonts w:ascii="Verdana" w:hAnsi="Verdana"/>
          <w:b/>
          <w:noProof/>
          <w:sz w:val="16"/>
          <w:szCs w:val="16"/>
          <w:lang w:val="en-GB"/>
        </w:rPr>
        <w:t xml:space="preserve"> for the year excluding one-time costs </w:t>
      </w:r>
      <w:r w:rsidR="0035290C" w:rsidRPr="006B537B">
        <w:rPr>
          <w:rFonts w:ascii="Verdana" w:hAnsi="Verdana"/>
          <w:b/>
          <w:noProof/>
          <w:sz w:val="16"/>
          <w:szCs w:val="16"/>
          <w:lang w:val="en-GB"/>
        </w:rPr>
        <w:t xml:space="preserve">was EUR </w:t>
      </w:r>
      <w:r w:rsidR="00EF54F9">
        <w:rPr>
          <w:rFonts w:ascii="Verdana" w:hAnsi="Verdana"/>
          <w:b/>
          <w:noProof/>
          <w:sz w:val="16"/>
          <w:szCs w:val="16"/>
          <w:lang w:val="en-GB"/>
        </w:rPr>
        <w:t>51</w:t>
      </w:r>
      <w:r w:rsidR="009A3EF3" w:rsidRPr="006B537B">
        <w:rPr>
          <w:rFonts w:ascii="Verdana" w:hAnsi="Verdana"/>
          <w:b/>
          <w:noProof/>
          <w:sz w:val="16"/>
          <w:szCs w:val="16"/>
          <w:lang w:val="en-GB"/>
        </w:rPr>
        <w:t>.</w:t>
      </w:r>
      <w:r w:rsidR="001A5AF9">
        <w:rPr>
          <w:rFonts w:ascii="Verdana" w:hAnsi="Verdana"/>
          <w:b/>
          <w:noProof/>
          <w:sz w:val="16"/>
          <w:szCs w:val="16"/>
          <w:lang w:val="en-GB"/>
        </w:rPr>
        <w:t>9</w:t>
      </w:r>
      <w:r w:rsidRPr="006B537B">
        <w:rPr>
          <w:rFonts w:ascii="Verdana" w:hAnsi="Verdana"/>
          <w:b/>
          <w:noProof/>
          <w:sz w:val="16"/>
          <w:szCs w:val="16"/>
          <w:lang w:val="en-GB"/>
        </w:rPr>
        <w:t xml:space="preserve"> million, which is </w:t>
      </w:r>
      <w:r w:rsidR="00EF54F9">
        <w:rPr>
          <w:rFonts w:ascii="Verdana" w:hAnsi="Verdana"/>
          <w:b/>
          <w:noProof/>
          <w:sz w:val="16"/>
          <w:szCs w:val="16"/>
          <w:lang w:val="en-GB"/>
        </w:rPr>
        <w:t>8.5%</w:t>
      </w:r>
      <w:r w:rsidRPr="006B537B">
        <w:rPr>
          <w:rFonts w:ascii="Verdana" w:hAnsi="Verdana"/>
          <w:b/>
          <w:noProof/>
          <w:sz w:val="16"/>
          <w:szCs w:val="16"/>
          <w:lang w:val="en-GB"/>
        </w:rPr>
        <w:t xml:space="preserve"> of sales, compared with </w:t>
      </w:r>
      <w:r w:rsidR="0035290C" w:rsidRPr="006B537B">
        <w:rPr>
          <w:rFonts w:ascii="Verdana" w:hAnsi="Verdana"/>
          <w:b/>
          <w:noProof/>
          <w:sz w:val="16"/>
          <w:szCs w:val="16"/>
          <w:lang w:val="en-GB"/>
        </w:rPr>
        <w:t>41.5 million (7.1</w:t>
      </w:r>
      <w:r w:rsidRPr="006B537B">
        <w:rPr>
          <w:rFonts w:ascii="Verdana" w:hAnsi="Verdana"/>
          <w:b/>
          <w:noProof/>
          <w:sz w:val="16"/>
          <w:szCs w:val="16"/>
          <w:lang w:val="en-GB"/>
        </w:rPr>
        <w:t xml:space="preserve">% of sales) the year before, representing an increase of </w:t>
      </w:r>
      <w:r w:rsidR="001A5AF9">
        <w:rPr>
          <w:rFonts w:ascii="Verdana" w:hAnsi="Verdana"/>
          <w:b/>
          <w:noProof/>
          <w:sz w:val="16"/>
          <w:szCs w:val="16"/>
          <w:lang w:val="en-GB"/>
        </w:rPr>
        <w:t>2</w:t>
      </w:r>
      <w:r w:rsidR="009A3EF3" w:rsidRPr="006B537B">
        <w:rPr>
          <w:rFonts w:ascii="Verdana" w:hAnsi="Verdana"/>
          <w:b/>
          <w:noProof/>
          <w:sz w:val="16"/>
          <w:szCs w:val="16"/>
          <w:lang w:val="en-GB"/>
        </w:rPr>
        <w:t>5</w:t>
      </w:r>
      <w:r w:rsidRPr="006B537B">
        <w:rPr>
          <w:rFonts w:ascii="Verdana" w:hAnsi="Verdana"/>
          <w:b/>
          <w:noProof/>
          <w:sz w:val="16"/>
          <w:szCs w:val="16"/>
          <w:lang w:val="en-GB"/>
        </w:rPr>
        <w:t>%.</w:t>
      </w:r>
    </w:p>
    <w:p w:rsidR="00EF54F9" w:rsidRDefault="00EF54F9" w:rsidP="00EF54F9">
      <w:pPr>
        <w:pStyle w:val="BodyText"/>
        <w:numPr>
          <w:ilvl w:val="0"/>
          <w:numId w:val="18"/>
        </w:numPr>
        <w:spacing w:before="120"/>
        <w:rPr>
          <w:rFonts w:ascii="Verdana" w:hAnsi="Verdana"/>
          <w:b/>
          <w:noProof/>
          <w:sz w:val="16"/>
          <w:szCs w:val="16"/>
          <w:lang w:val="en-GB"/>
        </w:rPr>
      </w:pPr>
      <w:r>
        <w:rPr>
          <w:rFonts w:ascii="Verdana" w:hAnsi="Verdana"/>
          <w:b/>
          <w:noProof/>
          <w:sz w:val="16"/>
          <w:szCs w:val="16"/>
          <w:lang w:val="en-GB"/>
        </w:rPr>
        <w:t xml:space="preserve">IFRS standards require that the company’s inventory be revalued at the time of the acquisition of Stork Food Systems, from the purchase price to the expected sales price. This results in a one-time debit entry of </w:t>
      </w:r>
      <w:r w:rsidR="006509DD">
        <w:rPr>
          <w:rFonts w:ascii="Verdana" w:hAnsi="Verdana"/>
          <w:b/>
          <w:noProof/>
          <w:sz w:val="16"/>
          <w:szCs w:val="16"/>
          <w:lang w:val="en-GB"/>
        </w:rPr>
        <w:t>EUR</w:t>
      </w:r>
      <w:r>
        <w:rPr>
          <w:rFonts w:ascii="Verdana" w:hAnsi="Verdana"/>
          <w:b/>
          <w:noProof/>
          <w:sz w:val="16"/>
          <w:szCs w:val="16"/>
          <w:lang w:val="en-GB"/>
        </w:rPr>
        <w:t xml:space="preserve"> 9.8 million in the fourth quarter, which has no effect on the company’s cash flow.</w:t>
      </w:r>
    </w:p>
    <w:p w:rsidR="00EF54F9" w:rsidRDefault="00EF54F9" w:rsidP="00EF54F9">
      <w:pPr>
        <w:pStyle w:val="BodyText"/>
        <w:numPr>
          <w:ilvl w:val="0"/>
          <w:numId w:val="18"/>
        </w:numPr>
        <w:spacing w:before="120"/>
        <w:rPr>
          <w:rFonts w:ascii="Verdana" w:hAnsi="Verdana"/>
          <w:b/>
          <w:noProof/>
          <w:sz w:val="16"/>
          <w:szCs w:val="16"/>
          <w:lang w:val="en-GB"/>
        </w:rPr>
      </w:pPr>
      <w:r>
        <w:rPr>
          <w:rFonts w:ascii="Verdana" w:hAnsi="Verdana"/>
          <w:b/>
          <w:noProof/>
          <w:sz w:val="16"/>
          <w:szCs w:val="16"/>
          <w:lang w:val="en-GB"/>
        </w:rPr>
        <w:t>One-time costs related to restructuring amounted to EUR 4 million.</w:t>
      </w:r>
    </w:p>
    <w:p w:rsidR="007D77C0" w:rsidRPr="006B537B" w:rsidRDefault="007D77C0" w:rsidP="00147D83">
      <w:pPr>
        <w:pStyle w:val="BodyText"/>
        <w:numPr>
          <w:ilvl w:val="0"/>
          <w:numId w:val="1"/>
        </w:numPr>
        <w:spacing w:before="120"/>
        <w:ind w:left="357" w:hanging="357"/>
        <w:rPr>
          <w:rFonts w:ascii="Verdana" w:hAnsi="Verdana"/>
          <w:b/>
          <w:noProof/>
          <w:sz w:val="16"/>
          <w:szCs w:val="16"/>
          <w:lang w:val="en-GB"/>
        </w:rPr>
      </w:pPr>
      <w:r>
        <w:rPr>
          <w:rFonts w:ascii="Verdana" w:hAnsi="Verdana"/>
          <w:b/>
          <w:noProof/>
          <w:sz w:val="16"/>
          <w:szCs w:val="16"/>
          <w:lang w:val="en-GB"/>
        </w:rPr>
        <w:t xml:space="preserve">The company has in recent years entered into forward contracts to hedge the costs related to its operations in Iceland. In October 2008, the market for transactions in Icelandic kronas failed and the contracts were rendered null and void. </w:t>
      </w:r>
      <w:r w:rsidR="00EF54F9">
        <w:rPr>
          <w:rFonts w:ascii="Verdana" w:hAnsi="Verdana"/>
          <w:b/>
          <w:noProof/>
          <w:sz w:val="16"/>
          <w:szCs w:val="16"/>
          <w:lang w:val="en-GB"/>
        </w:rPr>
        <w:t xml:space="preserve">For that reason, a precautionary debit entry of EUR 17.8 million was made </w:t>
      </w:r>
      <w:r w:rsidR="009A73F9">
        <w:rPr>
          <w:rFonts w:ascii="Verdana" w:hAnsi="Verdana"/>
          <w:b/>
          <w:noProof/>
          <w:sz w:val="16"/>
          <w:szCs w:val="16"/>
          <w:lang w:val="en-GB"/>
        </w:rPr>
        <w:t>under</w:t>
      </w:r>
      <w:r w:rsidR="00EF54F9">
        <w:rPr>
          <w:rFonts w:ascii="Verdana" w:hAnsi="Verdana"/>
          <w:b/>
          <w:noProof/>
          <w:sz w:val="16"/>
          <w:szCs w:val="16"/>
          <w:lang w:val="en-GB"/>
        </w:rPr>
        <w:t xml:space="preserve"> cost of capital.</w:t>
      </w:r>
    </w:p>
    <w:p w:rsidR="00147D83" w:rsidRPr="006B537B" w:rsidRDefault="00147D83" w:rsidP="00147D83">
      <w:pPr>
        <w:pStyle w:val="BodyText"/>
        <w:numPr>
          <w:ilvl w:val="0"/>
          <w:numId w:val="1"/>
        </w:numPr>
        <w:spacing w:before="120"/>
        <w:ind w:left="357" w:hanging="357"/>
        <w:rPr>
          <w:rFonts w:ascii="Verdana" w:hAnsi="Verdana"/>
          <w:b/>
          <w:noProof/>
          <w:sz w:val="16"/>
          <w:szCs w:val="16"/>
          <w:lang w:val="en-GB"/>
        </w:rPr>
      </w:pPr>
      <w:r w:rsidRPr="006B537B">
        <w:rPr>
          <w:rFonts w:ascii="Verdana" w:hAnsi="Verdana"/>
          <w:b/>
          <w:noProof/>
          <w:sz w:val="16"/>
          <w:szCs w:val="16"/>
          <w:lang w:val="en-GB"/>
        </w:rPr>
        <w:t>Net interest</w:t>
      </w:r>
      <w:r w:rsidR="0035290C" w:rsidRPr="006B537B">
        <w:rPr>
          <w:rFonts w:ascii="Verdana" w:hAnsi="Verdana"/>
          <w:b/>
          <w:noProof/>
          <w:sz w:val="16"/>
          <w:szCs w:val="16"/>
          <w:lang w:val="en-GB"/>
        </w:rPr>
        <w:t xml:space="preserve"> bearing debt amounts to EUR 378</w:t>
      </w:r>
      <w:r w:rsidRPr="006B537B">
        <w:rPr>
          <w:rFonts w:ascii="Verdana" w:hAnsi="Verdana"/>
          <w:b/>
          <w:noProof/>
          <w:sz w:val="16"/>
          <w:szCs w:val="16"/>
          <w:lang w:val="en-GB"/>
        </w:rPr>
        <w:t>.</w:t>
      </w:r>
      <w:r w:rsidR="009A3EF3" w:rsidRPr="006B537B">
        <w:rPr>
          <w:rFonts w:ascii="Verdana" w:hAnsi="Verdana"/>
          <w:b/>
          <w:noProof/>
          <w:sz w:val="16"/>
          <w:szCs w:val="16"/>
          <w:lang w:val="en-GB"/>
        </w:rPr>
        <w:t>2</w:t>
      </w:r>
      <w:r w:rsidRPr="006B537B">
        <w:rPr>
          <w:rFonts w:ascii="Verdana" w:hAnsi="Verdana"/>
          <w:b/>
          <w:noProof/>
          <w:sz w:val="16"/>
          <w:szCs w:val="16"/>
          <w:lang w:val="en-GB"/>
        </w:rPr>
        <w:t xml:space="preserve"> million.</w:t>
      </w:r>
      <w:r w:rsidR="00EF54F9">
        <w:rPr>
          <w:rFonts w:ascii="Verdana" w:hAnsi="Verdana"/>
          <w:b/>
          <w:noProof/>
          <w:sz w:val="16"/>
          <w:szCs w:val="16"/>
          <w:lang w:val="en-GB"/>
        </w:rPr>
        <w:t xml:space="preserve"> The average </w:t>
      </w:r>
      <w:r w:rsidR="008D40FA">
        <w:rPr>
          <w:rFonts w:ascii="Verdana" w:hAnsi="Verdana"/>
          <w:b/>
          <w:noProof/>
          <w:sz w:val="16"/>
          <w:szCs w:val="16"/>
          <w:lang w:val="en-GB"/>
        </w:rPr>
        <w:t>maturity of debt is about four years.</w:t>
      </w:r>
    </w:p>
    <w:p w:rsidR="00147D83" w:rsidRPr="006B537B" w:rsidRDefault="00147D83" w:rsidP="00147D83">
      <w:pPr>
        <w:pStyle w:val="BodyText"/>
        <w:numPr>
          <w:ilvl w:val="0"/>
          <w:numId w:val="1"/>
        </w:numPr>
        <w:spacing w:before="120"/>
        <w:ind w:left="357" w:hanging="357"/>
        <w:rPr>
          <w:rFonts w:ascii="Verdana" w:hAnsi="Verdana"/>
          <w:b/>
          <w:noProof/>
          <w:sz w:val="16"/>
          <w:szCs w:val="16"/>
          <w:lang w:val="en-GB"/>
        </w:rPr>
      </w:pPr>
      <w:r w:rsidRPr="006B537B">
        <w:rPr>
          <w:rFonts w:ascii="Verdana" w:hAnsi="Verdana"/>
          <w:b/>
          <w:noProof/>
          <w:sz w:val="16"/>
          <w:szCs w:val="16"/>
          <w:lang w:val="en-GB"/>
        </w:rPr>
        <w:t xml:space="preserve">Equity totalled EUR </w:t>
      </w:r>
      <w:r w:rsidR="0035290C" w:rsidRPr="006B537B">
        <w:rPr>
          <w:rFonts w:ascii="Verdana" w:hAnsi="Verdana"/>
          <w:b/>
          <w:noProof/>
          <w:sz w:val="16"/>
          <w:szCs w:val="16"/>
          <w:lang w:val="en-GB"/>
        </w:rPr>
        <w:t>28</w:t>
      </w:r>
      <w:r w:rsidR="009A3EF3" w:rsidRPr="006B537B">
        <w:rPr>
          <w:rFonts w:ascii="Verdana" w:hAnsi="Verdana"/>
          <w:b/>
          <w:noProof/>
          <w:sz w:val="16"/>
          <w:szCs w:val="16"/>
          <w:lang w:val="en-GB"/>
        </w:rPr>
        <w:t>6.8</w:t>
      </w:r>
      <w:r w:rsidRPr="006B537B">
        <w:rPr>
          <w:rFonts w:ascii="Verdana" w:hAnsi="Verdana"/>
          <w:b/>
          <w:noProof/>
          <w:sz w:val="16"/>
          <w:szCs w:val="16"/>
          <w:lang w:val="en-GB"/>
        </w:rPr>
        <w:t xml:space="preserve"> million and the equity ratio was </w:t>
      </w:r>
      <w:r w:rsidR="009A3EF3" w:rsidRPr="006B537B">
        <w:rPr>
          <w:rFonts w:ascii="Verdana" w:hAnsi="Verdana"/>
          <w:b/>
          <w:noProof/>
          <w:sz w:val="16"/>
          <w:szCs w:val="16"/>
          <w:lang w:val="en-GB"/>
        </w:rPr>
        <w:t>31.1</w:t>
      </w:r>
      <w:r w:rsidRPr="006B537B">
        <w:rPr>
          <w:rFonts w:ascii="Verdana" w:hAnsi="Verdana"/>
          <w:b/>
          <w:noProof/>
          <w:sz w:val="16"/>
          <w:szCs w:val="16"/>
          <w:lang w:val="en-GB"/>
        </w:rPr>
        <w:t>% at the end of 2008.</w:t>
      </w:r>
    </w:p>
    <w:p w:rsidR="00147D83" w:rsidRPr="006B537B" w:rsidRDefault="00147D83" w:rsidP="00147D83">
      <w:pPr>
        <w:pStyle w:val="BodyText"/>
        <w:spacing w:before="120"/>
        <w:rPr>
          <w:rFonts w:ascii="Verdana" w:hAnsi="Verdana"/>
          <w:b/>
          <w:noProof/>
          <w:sz w:val="20"/>
          <w:lang w:val="en-GB"/>
        </w:rPr>
      </w:pPr>
    </w:p>
    <w:p w:rsidR="00147D83" w:rsidRPr="006B537B" w:rsidRDefault="008D40FA" w:rsidP="00147D83">
      <w:pPr>
        <w:pStyle w:val="BodyText"/>
        <w:spacing w:before="120"/>
        <w:rPr>
          <w:rFonts w:ascii="Verdana" w:hAnsi="Verdana"/>
          <w:b/>
          <w:noProof/>
          <w:sz w:val="20"/>
          <w:lang w:val="en-GB"/>
        </w:rPr>
      </w:pPr>
      <w:r>
        <w:rPr>
          <w:rFonts w:ascii="Verdana" w:hAnsi="Verdana"/>
          <w:b/>
          <w:noProof/>
          <w:sz w:val="20"/>
          <w:lang w:val="en-GB"/>
        </w:rPr>
        <w:t xml:space="preserve">Extensive rationalisation measures </w:t>
      </w:r>
      <w:r w:rsidR="009A73F9">
        <w:rPr>
          <w:rFonts w:ascii="Verdana" w:hAnsi="Verdana"/>
          <w:b/>
          <w:noProof/>
          <w:sz w:val="20"/>
          <w:lang w:val="en-GB"/>
        </w:rPr>
        <w:t xml:space="preserve">in </w:t>
      </w:r>
      <w:r>
        <w:rPr>
          <w:rFonts w:ascii="Verdana" w:hAnsi="Verdana"/>
          <w:b/>
          <w:noProof/>
          <w:sz w:val="20"/>
          <w:lang w:val="en-GB"/>
        </w:rPr>
        <w:t>fourth quarter in response to demanding business environment</w:t>
      </w:r>
    </w:p>
    <w:p w:rsidR="00147D83" w:rsidRPr="006B537B" w:rsidRDefault="001E4959" w:rsidP="0035290C">
      <w:pPr>
        <w:pStyle w:val="BodyText"/>
        <w:numPr>
          <w:ilvl w:val="0"/>
          <w:numId w:val="1"/>
        </w:numPr>
        <w:spacing w:before="120"/>
        <w:ind w:left="357" w:hanging="357"/>
        <w:rPr>
          <w:rFonts w:ascii="Verdana" w:hAnsi="Verdana"/>
          <w:b/>
          <w:noProof/>
          <w:sz w:val="16"/>
          <w:szCs w:val="16"/>
          <w:lang w:val="en-GB"/>
        </w:rPr>
      </w:pPr>
      <w:r>
        <w:rPr>
          <w:rFonts w:ascii="Verdana" w:hAnsi="Verdana" w:cs="Verdana"/>
          <w:b/>
          <w:bCs/>
          <w:sz w:val="16"/>
          <w:szCs w:val="16"/>
          <w:lang w:val="en-GB"/>
        </w:rPr>
        <w:t xml:space="preserve">Proforma sales from core </w:t>
      </w:r>
      <w:r w:rsidR="00AF06B4">
        <w:rPr>
          <w:rFonts w:ascii="Verdana" w:hAnsi="Verdana" w:cs="Verdana"/>
          <w:b/>
          <w:bCs/>
          <w:sz w:val="16"/>
          <w:szCs w:val="16"/>
          <w:lang w:val="en-GB"/>
        </w:rPr>
        <w:t xml:space="preserve">business were </w:t>
      </w:r>
      <w:r w:rsidR="008D40FA">
        <w:rPr>
          <w:rFonts w:ascii="Verdana" w:hAnsi="Verdana" w:cs="Verdana"/>
          <w:b/>
          <w:bCs/>
          <w:sz w:val="16"/>
          <w:szCs w:val="16"/>
          <w:lang w:val="en-GB"/>
        </w:rPr>
        <w:t>EUR</w:t>
      </w:r>
      <w:r w:rsidR="00AF06B4">
        <w:rPr>
          <w:rFonts w:ascii="Verdana" w:hAnsi="Verdana" w:cs="Verdana"/>
          <w:b/>
          <w:bCs/>
          <w:sz w:val="16"/>
          <w:szCs w:val="16"/>
          <w:lang w:val="en-GB"/>
        </w:rPr>
        <w:t xml:space="preserve"> 138 million compared with </w:t>
      </w:r>
      <w:r w:rsidR="008D40FA">
        <w:rPr>
          <w:rFonts w:ascii="Verdana" w:hAnsi="Verdana" w:cs="Verdana"/>
          <w:b/>
          <w:bCs/>
          <w:sz w:val="16"/>
          <w:szCs w:val="16"/>
          <w:lang w:val="en-GB"/>
        </w:rPr>
        <w:t>EUR</w:t>
      </w:r>
      <w:r w:rsidR="00AF06B4">
        <w:rPr>
          <w:rFonts w:ascii="Verdana" w:hAnsi="Verdana" w:cs="Verdana"/>
          <w:b/>
          <w:bCs/>
          <w:sz w:val="16"/>
          <w:szCs w:val="16"/>
          <w:lang w:val="en-GB"/>
        </w:rPr>
        <w:t xml:space="preserve"> 159 million</w:t>
      </w:r>
      <w:r w:rsidR="008D40FA">
        <w:rPr>
          <w:rFonts w:ascii="Verdana" w:hAnsi="Verdana" w:cs="Verdana"/>
          <w:b/>
          <w:bCs/>
          <w:sz w:val="16"/>
          <w:szCs w:val="16"/>
          <w:lang w:val="en-GB"/>
        </w:rPr>
        <w:t xml:space="preserve"> the year before</w:t>
      </w:r>
      <w:r w:rsidR="00AF06B4">
        <w:rPr>
          <w:rFonts w:ascii="Verdana" w:hAnsi="Verdana" w:cs="Verdana"/>
          <w:b/>
          <w:bCs/>
          <w:sz w:val="16"/>
          <w:szCs w:val="16"/>
          <w:lang w:val="en-GB"/>
        </w:rPr>
        <w:t>, representing a decrease of 13.4%.</w:t>
      </w:r>
    </w:p>
    <w:p w:rsidR="00147D83" w:rsidRDefault="00CA653C" w:rsidP="00147D83">
      <w:pPr>
        <w:pStyle w:val="BodyText"/>
        <w:numPr>
          <w:ilvl w:val="0"/>
          <w:numId w:val="1"/>
        </w:numPr>
        <w:spacing w:before="120"/>
        <w:ind w:left="357" w:hanging="357"/>
        <w:rPr>
          <w:rFonts w:ascii="Verdana" w:hAnsi="Verdana"/>
          <w:b/>
          <w:noProof/>
          <w:sz w:val="16"/>
          <w:szCs w:val="16"/>
          <w:lang w:val="en-GB"/>
        </w:rPr>
      </w:pPr>
      <w:r>
        <w:rPr>
          <w:rFonts w:ascii="Verdana" w:hAnsi="Verdana"/>
          <w:b/>
          <w:noProof/>
          <w:sz w:val="16"/>
          <w:szCs w:val="16"/>
          <w:lang w:val="en-GB"/>
        </w:rPr>
        <w:t>Loss</w:t>
      </w:r>
      <w:r w:rsidR="00147D83" w:rsidRPr="006B537B">
        <w:rPr>
          <w:rFonts w:ascii="Verdana" w:hAnsi="Verdana"/>
          <w:b/>
          <w:noProof/>
          <w:sz w:val="16"/>
          <w:szCs w:val="16"/>
          <w:lang w:val="en-GB"/>
        </w:rPr>
        <w:t xml:space="preserve"> from operations (EBIT) </w:t>
      </w:r>
      <w:r>
        <w:rPr>
          <w:rFonts w:ascii="Verdana" w:hAnsi="Verdana"/>
          <w:b/>
          <w:noProof/>
          <w:sz w:val="16"/>
          <w:szCs w:val="16"/>
          <w:lang w:val="en-GB"/>
        </w:rPr>
        <w:t xml:space="preserve">in </w:t>
      </w:r>
      <w:r w:rsidR="00147D83" w:rsidRPr="006B537B">
        <w:rPr>
          <w:rFonts w:ascii="Verdana" w:hAnsi="Verdana"/>
          <w:b/>
          <w:noProof/>
          <w:sz w:val="16"/>
          <w:szCs w:val="16"/>
          <w:lang w:val="en-GB"/>
        </w:rPr>
        <w:t xml:space="preserve">the </w:t>
      </w:r>
      <w:r w:rsidR="0035290C" w:rsidRPr="006B537B">
        <w:rPr>
          <w:rFonts w:ascii="Verdana" w:hAnsi="Verdana"/>
          <w:b/>
          <w:noProof/>
          <w:sz w:val="16"/>
          <w:szCs w:val="16"/>
          <w:lang w:val="en-GB"/>
        </w:rPr>
        <w:t xml:space="preserve">fourth </w:t>
      </w:r>
      <w:r w:rsidR="00147D83" w:rsidRPr="006B537B">
        <w:rPr>
          <w:rFonts w:ascii="Verdana" w:hAnsi="Verdana"/>
          <w:b/>
          <w:noProof/>
          <w:sz w:val="16"/>
          <w:szCs w:val="16"/>
          <w:lang w:val="en-GB"/>
        </w:rPr>
        <w:t xml:space="preserve">quarter </w:t>
      </w:r>
      <w:r>
        <w:rPr>
          <w:rFonts w:ascii="Verdana" w:hAnsi="Verdana"/>
          <w:b/>
          <w:noProof/>
          <w:sz w:val="16"/>
          <w:szCs w:val="16"/>
          <w:lang w:val="en-GB"/>
        </w:rPr>
        <w:t xml:space="preserve">amounted to </w:t>
      </w:r>
      <w:r w:rsidR="00147D83" w:rsidRPr="006B537B">
        <w:rPr>
          <w:rFonts w:ascii="Verdana" w:hAnsi="Verdana"/>
          <w:b/>
          <w:noProof/>
          <w:sz w:val="16"/>
          <w:szCs w:val="16"/>
          <w:lang w:val="en-GB"/>
        </w:rPr>
        <w:t xml:space="preserve">EUR </w:t>
      </w:r>
      <w:r w:rsidR="009A3EF3" w:rsidRPr="006B537B">
        <w:rPr>
          <w:rFonts w:ascii="Verdana" w:hAnsi="Verdana"/>
          <w:b/>
          <w:noProof/>
          <w:sz w:val="16"/>
          <w:szCs w:val="16"/>
          <w:lang w:val="en-GB"/>
        </w:rPr>
        <w:t>7.4</w:t>
      </w:r>
      <w:r w:rsidR="00147D83" w:rsidRPr="006B537B">
        <w:rPr>
          <w:rFonts w:ascii="Verdana" w:hAnsi="Verdana"/>
          <w:b/>
          <w:noProof/>
          <w:sz w:val="16"/>
          <w:szCs w:val="16"/>
          <w:lang w:val="en-GB"/>
        </w:rPr>
        <w:t xml:space="preserve"> million</w:t>
      </w:r>
      <w:r w:rsidR="008D40FA">
        <w:rPr>
          <w:rFonts w:ascii="Verdana" w:hAnsi="Verdana"/>
          <w:b/>
          <w:noProof/>
          <w:sz w:val="16"/>
          <w:szCs w:val="16"/>
          <w:lang w:val="en-GB"/>
        </w:rPr>
        <w:t xml:space="preserve"> </w:t>
      </w:r>
      <w:r w:rsidR="0035290C" w:rsidRPr="006B537B">
        <w:rPr>
          <w:rFonts w:ascii="Verdana" w:hAnsi="Verdana"/>
          <w:b/>
          <w:noProof/>
          <w:sz w:val="16"/>
          <w:szCs w:val="16"/>
          <w:lang w:val="en-GB"/>
        </w:rPr>
        <w:t xml:space="preserve">compared with </w:t>
      </w:r>
      <w:r>
        <w:rPr>
          <w:rFonts w:ascii="Verdana" w:hAnsi="Verdana"/>
          <w:b/>
          <w:noProof/>
          <w:sz w:val="16"/>
          <w:szCs w:val="16"/>
          <w:lang w:val="en-GB"/>
        </w:rPr>
        <w:t xml:space="preserve">a profit from operations of </w:t>
      </w:r>
      <w:r w:rsidR="0035290C" w:rsidRPr="006B537B">
        <w:rPr>
          <w:rFonts w:ascii="Verdana" w:hAnsi="Verdana"/>
          <w:b/>
          <w:noProof/>
          <w:sz w:val="16"/>
          <w:szCs w:val="16"/>
          <w:lang w:val="en-GB"/>
        </w:rPr>
        <w:t>EUR 1.6</w:t>
      </w:r>
      <w:r w:rsidR="00147D83" w:rsidRPr="006B537B">
        <w:rPr>
          <w:rFonts w:ascii="Verdana" w:hAnsi="Verdana"/>
          <w:b/>
          <w:noProof/>
          <w:sz w:val="16"/>
          <w:szCs w:val="16"/>
          <w:lang w:val="en-GB"/>
        </w:rPr>
        <w:t xml:space="preserve"> million for the same period the year before. </w:t>
      </w:r>
      <w:r w:rsidR="009A3EF3" w:rsidRPr="006B537B">
        <w:rPr>
          <w:rFonts w:ascii="Verdana" w:hAnsi="Verdana"/>
          <w:b/>
          <w:noProof/>
          <w:sz w:val="16"/>
          <w:szCs w:val="16"/>
          <w:lang w:val="en-GB"/>
        </w:rPr>
        <w:t>Profi</w:t>
      </w:r>
      <w:r w:rsidR="006B537B">
        <w:rPr>
          <w:rFonts w:ascii="Verdana" w:hAnsi="Verdana"/>
          <w:b/>
          <w:noProof/>
          <w:sz w:val="16"/>
          <w:szCs w:val="16"/>
          <w:lang w:val="en-GB"/>
        </w:rPr>
        <w:t>t</w:t>
      </w:r>
      <w:r w:rsidR="009A3EF3" w:rsidRPr="006B537B">
        <w:rPr>
          <w:rFonts w:ascii="Verdana" w:hAnsi="Verdana"/>
          <w:b/>
          <w:noProof/>
          <w:sz w:val="16"/>
          <w:szCs w:val="16"/>
          <w:lang w:val="en-GB"/>
        </w:rPr>
        <w:t xml:space="preserve"> from operations </w:t>
      </w:r>
      <w:r w:rsidR="00545CF1">
        <w:rPr>
          <w:rFonts w:ascii="Verdana" w:hAnsi="Verdana"/>
          <w:b/>
          <w:noProof/>
          <w:sz w:val="16"/>
          <w:szCs w:val="16"/>
          <w:lang w:val="en-GB"/>
        </w:rPr>
        <w:t>of</w:t>
      </w:r>
      <w:r w:rsidR="009A3EF3" w:rsidRPr="006B537B">
        <w:rPr>
          <w:rFonts w:ascii="Verdana" w:hAnsi="Verdana"/>
          <w:b/>
          <w:noProof/>
          <w:sz w:val="16"/>
          <w:szCs w:val="16"/>
          <w:lang w:val="en-GB"/>
        </w:rPr>
        <w:t xml:space="preserve"> core business, excluding </w:t>
      </w:r>
      <w:r w:rsidR="0035290C" w:rsidRPr="006B537B">
        <w:rPr>
          <w:rFonts w:ascii="Verdana" w:hAnsi="Verdana"/>
          <w:b/>
          <w:noProof/>
          <w:sz w:val="16"/>
          <w:szCs w:val="16"/>
          <w:lang w:val="en-GB"/>
        </w:rPr>
        <w:t>one-time expenses related to the acquisition of Stork Food Systems</w:t>
      </w:r>
      <w:r w:rsidR="009A3EF3" w:rsidRPr="006B537B">
        <w:rPr>
          <w:rFonts w:ascii="Verdana" w:hAnsi="Verdana"/>
          <w:b/>
          <w:noProof/>
          <w:sz w:val="16"/>
          <w:szCs w:val="16"/>
          <w:lang w:val="en-GB"/>
        </w:rPr>
        <w:t xml:space="preserve">, was </w:t>
      </w:r>
      <w:r w:rsidR="0035290C" w:rsidRPr="006B537B">
        <w:rPr>
          <w:rFonts w:ascii="Verdana" w:hAnsi="Verdana"/>
          <w:b/>
          <w:noProof/>
          <w:sz w:val="16"/>
          <w:szCs w:val="16"/>
          <w:lang w:val="en-GB"/>
        </w:rPr>
        <w:t xml:space="preserve">EUR </w:t>
      </w:r>
      <w:r w:rsidR="001B3B83">
        <w:rPr>
          <w:rFonts w:ascii="Verdana" w:hAnsi="Verdana"/>
          <w:b/>
          <w:noProof/>
          <w:sz w:val="16"/>
          <w:szCs w:val="16"/>
          <w:lang w:val="en-GB"/>
        </w:rPr>
        <w:t>8</w:t>
      </w:r>
      <w:r w:rsidR="009A3EF3" w:rsidRPr="006B537B">
        <w:rPr>
          <w:rFonts w:ascii="Verdana" w:hAnsi="Verdana"/>
          <w:b/>
          <w:noProof/>
          <w:sz w:val="16"/>
          <w:szCs w:val="16"/>
          <w:lang w:val="en-GB"/>
        </w:rPr>
        <w:t>.4</w:t>
      </w:r>
      <w:r w:rsidR="0035290C" w:rsidRPr="006B537B">
        <w:rPr>
          <w:rFonts w:ascii="Verdana" w:hAnsi="Verdana"/>
          <w:b/>
          <w:noProof/>
          <w:sz w:val="16"/>
          <w:szCs w:val="16"/>
          <w:lang w:val="en-GB"/>
        </w:rPr>
        <w:t xml:space="preserve"> million, or </w:t>
      </w:r>
      <w:r w:rsidR="001B3B83">
        <w:rPr>
          <w:rFonts w:ascii="Verdana" w:hAnsi="Verdana"/>
          <w:b/>
          <w:noProof/>
          <w:sz w:val="16"/>
          <w:szCs w:val="16"/>
          <w:lang w:val="en-GB"/>
        </w:rPr>
        <w:t>6</w:t>
      </w:r>
      <w:r w:rsidR="009A3EF3" w:rsidRPr="006B537B">
        <w:rPr>
          <w:rFonts w:ascii="Verdana" w:hAnsi="Verdana"/>
          <w:b/>
          <w:noProof/>
          <w:sz w:val="16"/>
          <w:szCs w:val="16"/>
          <w:lang w:val="en-GB"/>
        </w:rPr>
        <w:t>.</w:t>
      </w:r>
      <w:r w:rsidR="001A5AF9">
        <w:rPr>
          <w:rFonts w:ascii="Verdana" w:hAnsi="Verdana"/>
          <w:b/>
          <w:noProof/>
          <w:sz w:val="16"/>
          <w:szCs w:val="16"/>
          <w:lang w:val="en-GB"/>
        </w:rPr>
        <w:t>2</w:t>
      </w:r>
      <w:r w:rsidR="0035290C" w:rsidRPr="006B537B">
        <w:rPr>
          <w:rFonts w:ascii="Verdana" w:hAnsi="Verdana"/>
          <w:b/>
          <w:noProof/>
          <w:sz w:val="16"/>
          <w:szCs w:val="16"/>
          <w:lang w:val="en-GB"/>
        </w:rPr>
        <w:t>% of sales.</w:t>
      </w:r>
    </w:p>
    <w:p w:rsidR="00AF06B4" w:rsidRPr="006B537B" w:rsidRDefault="00AF06B4" w:rsidP="00147D83">
      <w:pPr>
        <w:pStyle w:val="BodyText"/>
        <w:numPr>
          <w:ilvl w:val="0"/>
          <w:numId w:val="1"/>
        </w:numPr>
        <w:spacing w:before="120"/>
        <w:ind w:left="357" w:hanging="357"/>
        <w:rPr>
          <w:rFonts w:ascii="Verdana" w:hAnsi="Verdana"/>
          <w:b/>
          <w:noProof/>
          <w:sz w:val="16"/>
          <w:szCs w:val="16"/>
          <w:lang w:val="en-GB"/>
        </w:rPr>
      </w:pPr>
      <w:r>
        <w:rPr>
          <w:rFonts w:ascii="Verdana" w:hAnsi="Verdana"/>
          <w:b/>
          <w:noProof/>
          <w:sz w:val="16"/>
          <w:szCs w:val="16"/>
          <w:lang w:val="en-GB"/>
        </w:rPr>
        <w:t xml:space="preserve">The company </w:t>
      </w:r>
      <w:r w:rsidR="00CA653C">
        <w:rPr>
          <w:rFonts w:ascii="Verdana" w:hAnsi="Verdana"/>
          <w:b/>
          <w:noProof/>
          <w:sz w:val="16"/>
          <w:szCs w:val="16"/>
          <w:lang w:val="en-GB"/>
        </w:rPr>
        <w:t xml:space="preserve">initiated </w:t>
      </w:r>
      <w:r>
        <w:rPr>
          <w:rFonts w:ascii="Verdana" w:hAnsi="Verdana"/>
          <w:b/>
          <w:noProof/>
          <w:sz w:val="16"/>
          <w:szCs w:val="16"/>
          <w:lang w:val="en-GB"/>
        </w:rPr>
        <w:t xml:space="preserve">extensive </w:t>
      </w:r>
      <w:r w:rsidR="00CA653C">
        <w:rPr>
          <w:rFonts w:ascii="Verdana" w:hAnsi="Verdana"/>
          <w:b/>
          <w:noProof/>
          <w:sz w:val="16"/>
          <w:szCs w:val="16"/>
          <w:lang w:val="en-GB"/>
        </w:rPr>
        <w:t xml:space="preserve">restructuring </w:t>
      </w:r>
      <w:r>
        <w:rPr>
          <w:rFonts w:ascii="Verdana" w:hAnsi="Verdana"/>
          <w:b/>
          <w:noProof/>
          <w:sz w:val="16"/>
          <w:szCs w:val="16"/>
          <w:lang w:val="en-GB"/>
        </w:rPr>
        <w:t>during the quarter, including a reduction of 300 in the number of employees</w:t>
      </w:r>
      <w:r w:rsidR="007558E8">
        <w:rPr>
          <w:rFonts w:ascii="Verdana" w:hAnsi="Verdana"/>
          <w:b/>
          <w:noProof/>
          <w:sz w:val="16"/>
          <w:szCs w:val="16"/>
          <w:lang w:val="en-GB"/>
        </w:rPr>
        <w:t xml:space="preserve"> outside Iceland</w:t>
      </w:r>
      <w:r>
        <w:rPr>
          <w:rFonts w:ascii="Verdana" w:hAnsi="Verdana"/>
          <w:b/>
          <w:noProof/>
          <w:sz w:val="16"/>
          <w:szCs w:val="16"/>
          <w:lang w:val="en-GB"/>
        </w:rPr>
        <w:t xml:space="preserve">. The </w:t>
      </w:r>
      <w:r w:rsidR="00CA653C">
        <w:rPr>
          <w:rFonts w:ascii="Verdana" w:hAnsi="Verdana"/>
          <w:b/>
          <w:noProof/>
          <w:sz w:val="16"/>
          <w:szCs w:val="16"/>
          <w:lang w:val="en-GB"/>
        </w:rPr>
        <w:t xml:space="preserve">resulting </w:t>
      </w:r>
      <w:r>
        <w:rPr>
          <w:rFonts w:ascii="Verdana" w:hAnsi="Verdana"/>
          <w:b/>
          <w:noProof/>
          <w:sz w:val="16"/>
          <w:szCs w:val="16"/>
          <w:lang w:val="en-GB"/>
        </w:rPr>
        <w:t>cost</w:t>
      </w:r>
      <w:r w:rsidR="00CA653C">
        <w:rPr>
          <w:rFonts w:ascii="Verdana" w:hAnsi="Verdana"/>
          <w:b/>
          <w:noProof/>
          <w:sz w:val="16"/>
          <w:szCs w:val="16"/>
          <w:lang w:val="en-GB"/>
        </w:rPr>
        <w:t>s</w:t>
      </w:r>
      <w:r>
        <w:rPr>
          <w:rFonts w:ascii="Verdana" w:hAnsi="Verdana"/>
          <w:b/>
          <w:noProof/>
          <w:sz w:val="16"/>
          <w:szCs w:val="16"/>
          <w:lang w:val="en-GB"/>
        </w:rPr>
        <w:t xml:space="preserve"> </w:t>
      </w:r>
      <w:r w:rsidR="00C60D10">
        <w:rPr>
          <w:rFonts w:ascii="Verdana" w:hAnsi="Verdana"/>
          <w:b/>
          <w:noProof/>
          <w:sz w:val="16"/>
          <w:szCs w:val="16"/>
          <w:lang w:val="en-GB"/>
        </w:rPr>
        <w:t xml:space="preserve">are </w:t>
      </w:r>
      <w:r w:rsidR="005F3F3A">
        <w:rPr>
          <w:rFonts w:ascii="Verdana" w:hAnsi="Verdana"/>
          <w:b/>
          <w:noProof/>
          <w:sz w:val="16"/>
          <w:szCs w:val="16"/>
          <w:lang w:val="en-GB"/>
        </w:rPr>
        <w:t>expensed in Q4</w:t>
      </w:r>
      <w:r>
        <w:rPr>
          <w:rFonts w:ascii="Verdana" w:hAnsi="Verdana"/>
          <w:b/>
          <w:noProof/>
          <w:sz w:val="16"/>
          <w:szCs w:val="16"/>
          <w:lang w:val="en-GB"/>
        </w:rPr>
        <w:t>.</w:t>
      </w:r>
      <w:r w:rsidR="001B3B83">
        <w:rPr>
          <w:rFonts w:ascii="Verdana" w:hAnsi="Verdana"/>
          <w:b/>
          <w:noProof/>
          <w:sz w:val="16"/>
          <w:szCs w:val="16"/>
          <w:lang w:val="en-GB"/>
        </w:rPr>
        <w:t xml:space="preserve"> The annual reduction in cost resulting from these measures is </w:t>
      </w:r>
      <w:r w:rsidR="005F3F3A">
        <w:rPr>
          <w:rFonts w:ascii="Verdana" w:hAnsi="Verdana"/>
          <w:b/>
          <w:noProof/>
          <w:sz w:val="16"/>
          <w:szCs w:val="16"/>
          <w:lang w:val="en-GB"/>
        </w:rPr>
        <w:t xml:space="preserve">estimated to be </w:t>
      </w:r>
      <w:r w:rsidR="001B3B83">
        <w:rPr>
          <w:rFonts w:ascii="Verdana" w:hAnsi="Verdana"/>
          <w:b/>
          <w:noProof/>
          <w:sz w:val="16"/>
          <w:szCs w:val="16"/>
          <w:lang w:val="en-GB"/>
        </w:rPr>
        <w:t>EUR 12-15 million.</w:t>
      </w:r>
    </w:p>
    <w:p w:rsidR="000E4A1E" w:rsidRDefault="000E4A1E" w:rsidP="00266A31">
      <w:pPr>
        <w:autoSpaceDE w:val="0"/>
        <w:autoSpaceDN w:val="0"/>
        <w:adjustRightInd w:val="0"/>
        <w:rPr>
          <w:rFonts w:ascii="Verdana" w:hAnsi="Verdana" w:cs="Verdana"/>
          <w:b/>
          <w:bCs/>
          <w:color w:val="000000"/>
          <w:sz w:val="23"/>
          <w:szCs w:val="23"/>
          <w:lang w:val="en-GB"/>
        </w:rPr>
      </w:pPr>
    </w:p>
    <w:p w:rsidR="003B05E1" w:rsidRPr="00D238FC" w:rsidRDefault="003B05E1" w:rsidP="003B05E1">
      <w:pPr>
        <w:pStyle w:val="BodyText"/>
        <w:spacing w:before="120"/>
        <w:rPr>
          <w:rFonts w:ascii="Verdana" w:hAnsi="Verdana"/>
          <w:b/>
          <w:bCs/>
          <w:sz w:val="20"/>
          <w:lang w:val="is-IS"/>
        </w:rPr>
      </w:pPr>
      <w:r>
        <w:rPr>
          <w:rFonts w:ascii="Verdana" w:hAnsi="Verdana"/>
          <w:b/>
          <w:bCs/>
          <w:sz w:val="20"/>
          <w:lang w:val="is-IS"/>
        </w:rPr>
        <w:t>Consolidated financial statements</w:t>
      </w:r>
    </w:p>
    <w:p w:rsidR="003B05E1" w:rsidRDefault="003B05E1" w:rsidP="003B05E1">
      <w:pPr>
        <w:pStyle w:val="BodyText"/>
        <w:numPr>
          <w:ilvl w:val="0"/>
          <w:numId w:val="1"/>
        </w:numPr>
        <w:spacing w:before="120"/>
        <w:ind w:left="357" w:hanging="357"/>
        <w:rPr>
          <w:rFonts w:ascii="Verdana" w:hAnsi="Verdana"/>
          <w:b/>
          <w:noProof/>
          <w:sz w:val="16"/>
          <w:szCs w:val="16"/>
          <w:lang w:val="is-IS"/>
        </w:rPr>
      </w:pPr>
      <w:r>
        <w:rPr>
          <w:rFonts w:ascii="Verdana" w:hAnsi="Verdana"/>
          <w:b/>
          <w:noProof/>
          <w:sz w:val="16"/>
          <w:szCs w:val="16"/>
          <w:lang w:val="is-IS"/>
        </w:rPr>
        <w:t>According to the consolidated fina</w:t>
      </w:r>
      <w:r w:rsidR="00545CF1">
        <w:rPr>
          <w:rFonts w:ascii="Verdana" w:hAnsi="Verdana"/>
          <w:b/>
          <w:noProof/>
          <w:sz w:val="16"/>
          <w:szCs w:val="16"/>
          <w:lang w:val="is-IS"/>
        </w:rPr>
        <w:t>ncial statements, which include</w:t>
      </w:r>
      <w:r>
        <w:rPr>
          <w:rFonts w:ascii="Verdana" w:hAnsi="Verdana"/>
          <w:b/>
          <w:noProof/>
          <w:sz w:val="16"/>
          <w:szCs w:val="16"/>
          <w:lang w:val="is-IS"/>
        </w:rPr>
        <w:t xml:space="preserve"> the operations of Stork Food Systems for the period 8 May to 31 December, as well as the operations of Food and Dairy Systems, s</w:t>
      </w:r>
      <w:r w:rsidRPr="006B537B">
        <w:rPr>
          <w:rFonts w:ascii="Verdana" w:hAnsi="Verdana" w:cs="Verdana"/>
          <w:b/>
          <w:bCs/>
          <w:sz w:val="16"/>
          <w:szCs w:val="16"/>
          <w:lang w:val="en-GB"/>
        </w:rPr>
        <w:t>ales for the year 2008 totalled EUR 540.1 million.</w:t>
      </w:r>
    </w:p>
    <w:p w:rsidR="003B05E1" w:rsidRPr="00D238FC" w:rsidRDefault="003B05E1" w:rsidP="003B05E1">
      <w:pPr>
        <w:pStyle w:val="BodyText"/>
        <w:numPr>
          <w:ilvl w:val="0"/>
          <w:numId w:val="1"/>
        </w:numPr>
        <w:spacing w:before="120"/>
        <w:ind w:left="357" w:hanging="357"/>
        <w:rPr>
          <w:rFonts w:ascii="Verdana" w:hAnsi="Verdana"/>
          <w:b/>
          <w:noProof/>
          <w:sz w:val="16"/>
          <w:szCs w:val="16"/>
          <w:lang w:val="is-IS"/>
        </w:rPr>
      </w:pPr>
      <w:r w:rsidRPr="006B537B">
        <w:rPr>
          <w:rFonts w:ascii="Verdana" w:hAnsi="Verdana"/>
          <w:b/>
          <w:noProof/>
          <w:sz w:val="16"/>
          <w:szCs w:val="16"/>
          <w:lang w:val="en-GB"/>
        </w:rPr>
        <w:t>Profit from operations (EBIT) for the year 2008 was EUR 20.4 million, which is 3.8% of sales.</w:t>
      </w:r>
    </w:p>
    <w:p w:rsidR="003B05E1" w:rsidRPr="003B05E1" w:rsidRDefault="003B05E1" w:rsidP="00266A31">
      <w:pPr>
        <w:autoSpaceDE w:val="0"/>
        <w:autoSpaceDN w:val="0"/>
        <w:adjustRightInd w:val="0"/>
        <w:rPr>
          <w:rFonts w:ascii="Verdana" w:hAnsi="Verdana" w:cs="Verdana"/>
          <w:b/>
          <w:bCs/>
          <w:color w:val="000000"/>
          <w:sz w:val="23"/>
          <w:szCs w:val="23"/>
          <w:lang w:val="is-IS"/>
        </w:rPr>
      </w:pPr>
    </w:p>
    <w:p w:rsidR="00613DB6" w:rsidRPr="00353FCF" w:rsidRDefault="00613DB6" w:rsidP="00613DB6">
      <w:pPr>
        <w:autoSpaceDE w:val="0"/>
        <w:autoSpaceDN w:val="0"/>
        <w:adjustRightInd w:val="0"/>
        <w:rPr>
          <w:rFonts w:ascii="Verdana" w:hAnsi="Verdana" w:cs="Verdana"/>
          <w:b/>
          <w:bCs/>
          <w:color w:val="000000"/>
          <w:sz w:val="16"/>
          <w:szCs w:val="16"/>
          <w:lang w:val="en-GB"/>
        </w:rPr>
      </w:pPr>
      <w:r w:rsidRPr="00353FCF">
        <w:rPr>
          <w:rFonts w:ascii="Verdana" w:hAnsi="Verdana" w:cs="Verdana"/>
          <w:b/>
          <w:bCs/>
          <w:color w:val="000000"/>
          <w:sz w:val="16"/>
          <w:szCs w:val="16"/>
          <w:lang w:val="en-GB"/>
        </w:rPr>
        <w:lastRenderedPageBreak/>
        <w:t>Hordur Arnarson, CEO:</w:t>
      </w:r>
    </w:p>
    <w:p w:rsidR="00613DB6" w:rsidRPr="00353FCF" w:rsidRDefault="00613DB6" w:rsidP="00613DB6">
      <w:pPr>
        <w:autoSpaceDE w:val="0"/>
        <w:autoSpaceDN w:val="0"/>
        <w:adjustRightInd w:val="0"/>
        <w:jc w:val="both"/>
        <w:rPr>
          <w:rFonts w:ascii="Verdana" w:hAnsi="Verdana" w:cs="Verdana"/>
          <w:b/>
          <w:bCs/>
          <w:color w:val="000000"/>
          <w:sz w:val="16"/>
          <w:szCs w:val="16"/>
          <w:lang w:val="en-GB"/>
        </w:rPr>
      </w:pPr>
    </w:p>
    <w:p w:rsidR="0098051B" w:rsidRPr="00353FCF" w:rsidRDefault="00A41103" w:rsidP="00A41103">
      <w:pPr>
        <w:autoSpaceDE w:val="0"/>
        <w:autoSpaceDN w:val="0"/>
        <w:adjustRightInd w:val="0"/>
        <w:jc w:val="both"/>
        <w:rPr>
          <w:rFonts w:ascii="Verdana" w:hAnsi="Verdana" w:cs="Verdana"/>
          <w:bCs/>
          <w:color w:val="000000"/>
          <w:sz w:val="16"/>
          <w:szCs w:val="16"/>
          <w:lang w:val="en-GB"/>
        </w:rPr>
      </w:pPr>
      <w:r>
        <w:rPr>
          <w:rFonts w:ascii="Verdana" w:hAnsi="Verdana" w:cs="Verdana"/>
          <w:bCs/>
          <w:color w:val="000000"/>
          <w:sz w:val="16"/>
          <w:szCs w:val="16"/>
          <w:lang w:val="en-GB"/>
        </w:rPr>
        <w:t>“</w:t>
      </w:r>
      <w:r w:rsidR="0098051B" w:rsidRPr="00353FCF">
        <w:rPr>
          <w:rFonts w:ascii="Verdana" w:hAnsi="Verdana" w:cs="Verdana"/>
          <w:bCs/>
          <w:color w:val="000000"/>
          <w:sz w:val="16"/>
          <w:szCs w:val="16"/>
          <w:lang w:val="en-GB"/>
        </w:rPr>
        <w:t xml:space="preserve">The proforma profit from operations (EBIT) from the company‘s core business for 2008 was </w:t>
      </w:r>
      <w:r w:rsidR="001B3B83">
        <w:rPr>
          <w:rFonts w:ascii="Verdana" w:hAnsi="Verdana" w:cs="Verdana"/>
          <w:bCs/>
          <w:color w:val="000000"/>
          <w:sz w:val="16"/>
          <w:szCs w:val="16"/>
          <w:lang w:val="en-GB"/>
        </w:rPr>
        <w:t>8.5</w:t>
      </w:r>
      <w:r w:rsidR="0098051B" w:rsidRPr="00353FCF">
        <w:rPr>
          <w:rFonts w:ascii="Verdana" w:hAnsi="Verdana" w:cs="Verdana"/>
          <w:bCs/>
          <w:color w:val="000000"/>
          <w:sz w:val="16"/>
          <w:szCs w:val="16"/>
          <w:lang w:val="en-GB"/>
        </w:rPr>
        <w:t>% of sales, compared to the company‘s goal for the year which was 9%. The deviation can be attributed entirely to developments during the fourth quarter, and specifically to the effects of the international financial crisis on the company‘s sales.</w:t>
      </w:r>
    </w:p>
    <w:p w:rsidR="0098051B" w:rsidRDefault="0098051B" w:rsidP="00A41103">
      <w:pPr>
        <w:autoSpaceDE w:val="0"/>
        <w:autoSpaceDN w:val="0"/>
        <w:adjustRightInd w:val="0"/>
        <w:jc w:val="both"/>
        <w:rPr>
          <w:rFonts w:ascii="Verdana" w:hAnsi="Verdana" w:cs="Verdana"/>
          <w:bCs/>
          <w:color w:val="000000"/>
          <w:sz w:val="16"/>
          <w:szCs w:val="16"/>
          <w:lang w:val="en-GB"/>
        </w:rPr>
      </w:pPr>
    </w:p>
    <w:p w:rsidR="0098051B" w:rsidRPr="00353FCF" w:rsidRDefault="0098051B" w:rsidP="00A41103">
      <w:pPr>
        <w:autoSpaceDE w:val="0"/>
        <w:autoSpaceDN w:val="0"/>
        <w:adjustRightInd w:val="0"/>
        <w:jc w:val="both"/>
        <w:rPr>
          <w:rFonts w:ascii="Verdana" w:hAnsi="Verdana" w:cs="Verdana"/>
          <w:bCs/>
          <w:color w:val="000000"/>
          <w:sz w:val="16"/>
          <w:szCs w:val="16"/>
          <w:lang w:val="en-GB"/>
        </w:rPr>
      </w:pPr>
      <w:r w:rsidRPr="00353FCF">
        <w:rPr>
          <w:rFonts w:ascii="Verdana" w:hAnsi="Verdana" w:cs="Verdana"/>
          <w:bCs/>
          <w:color w:val="000000"/>
          <w:sz w:val="16"/>
          <w:szCs w:val="16"/>
          <w:lang w:val="en-GB"/>
        </w:rPr>
        <w:t xml:space="preserve">In response to the </w:t>
      </w:r>
      <w:r w:rsidR="001B3B83">
        <w:rPr>
          <w:rFonts w:ascii="Verdana" w:hAnsi="Verdana" w:cs="Verdana"/>
          <w:bCs/>
          <w:color w:val="000000"/>
          <w:sz w:val="16"/>
          <w:szCs w:val="16"/>
          <w:lang w:val="en-GB"/>
        </w:rPr>
        <w:t xml:space="preserve">changing conditions </w:t>
      </w:r>
      <w:r w:rsidRPr="00353FCF">
        <w:rPr>
          <w:rFonts w:ascii="Verdana" w:hAnsi="Verdana" w:cs="Verdana"/>
          <w:bCs/>
          <w:color w:val="000000"/>
          <w:sz w:val="16"/>
          <w:szCs w:val="16"/>
          <w:lang w:val="en-GB"/>
        </w:rPr>
        <w:t xml:space="preserve">in the international markets, the company has undertaken extensive measures to reduce operational costs. Among other things, the number of employees </w:t>
      </w:r>
      <w:r w:rsidR="00E437FD">
        <w:rPr>
          <w:rFonts w:ascii="Verdana" w:hAnsi="Verdana" w:cs="Verdana"/>
          <w:bCs/>
          <w:color w:val="000000"/>
          <w:sz w:val="16"/>
          <w:szCs w:val="16"/>
          <w:lang w:val="en-GB"/>
        </w:rPr>
        <w:t>at</w:t>
      </w:r>
      <w:r w:rsidR="007558E8">
        <w:rPr>
          <w:rFonts w:ascii="Verdana" w:hAnsi="Verdana" w:cs="Verdana"/>
          <w:bCs/>
          <w:color w:val="000000"/>
          <w:sz w:val="16"/>
          <w:szCs w:val="16"/>
          <w:lang w:val="en-GB"/>
        </w:rPr>
        <w:t xml:space="preserve"> our companies outside Iceland </w:t>
      </w:r>
      <w:r w:rsidRPr="00353FCF">
        <w:rPr>
          <w:rFonts w:ascii="Verdana" w:hAnsi="Verdana" w:cs="Verdana"/>
          <w:bCs/>
          <w:color w:val="000000"/>
          <w:sz w:val="16"/>
          <w:szCs w:val="16"/>
          <w:lang w:val="en-GB"/>
        </w:rPr>
        <w:t>was reduced by 300 at the end of the year and the associated expense was recorded in the fourth quarter.</w:t>
      </w:r>
    </w:p>
    <w:p w:rsidR="0098051B" w:rsidRPr="00353FCF" w:rsidRDefault="0098051B" w:rsidP="00A41103">
      <w:pPr>
        <w:autoSpaceDE w:val="0"/>
        <w:autoSpaceDN w:val="0"/>
        <w:adjustRightInd w:val="0"/>
        <w:jc w:val="both"/>
        <w:rPr>
          <w:rFonts w:ascii="Verdana" w:hAnsi="Verdana" w:cs="Verdana"/>
          <w:bCs/>
          <w:color w:val="000000"/>
          <w:sz w:val="16"/>
          <w:szCs w:val="16"/>
          <w:lang w:val="en-GB"/>
        </w:rPr>
      </w:pPr>
    </w:p>
    <w:p w:rsidR="00B916EA" w:rsidRPr="00353FCF" w:rsidRDefault="00613DB6" w:rsidP="001B3B83">
      <w:pPr>
        <w:autoSpaceDE w:val="0"/>
        <w:autoSpaceDN w:val="0"/>
        <w:adjustRightInd w:val="0"/>
        <w:jc w:val="both"/>
        <w:rPr>
          <w:rFonts w:ascii="Verdana" w:hAnsi="Verdana" w:cs="Verdana"/>
          <w:sz w:val="16"/>
          <w:szCs w:val="16"/>
          <w:lang w:val="en-GB"/>
        </w:rPr>
      </w:pPr>
      <w:r w:rsidRPr="00353FCF">
        <w:rPr>
          <w:rFonts w:ascii="Verdana" w:hAnsi="Verdana" w:cs="Verdana"/>
          <w:sz w:val="16"/>
          <w:szCs w:val="16"/>
          <w:lang w:val="en-GB"/>
        </w:rPr>
        <w:t xml:space="preserve">The difficult conditions in the financial markets have affected the ability of our customers to invest, especially in new factories, and the result in many cases has been a deferment of such investments. We have, on the other hand, benefited from the increasingly large share of our turnover that is based on the sale of spare parts and service, which has not suffered. The food processing industry has always adapted quickly to changes in the environment. </w:t>
      </w:r>
      <w:r w:rsidR="001B3B83">
        <w:rPr>
          <w:rFonts w:ascii="Verdana" w:hAnsi="Verdana" w:cs="Verdana"/>
          <w:sz w:val="16"/>
          <w:szCs w:val="16"/>
          <w:lang w:val="en-GB"/>
        </w:rPr>
        <w:t>Our valuation of the strong underlying growth in the industry remains unchanged.</w:t>
      </w:r>
      <w:r w:rsidRPr="00353FCF">
        <w:rPr>
          <w:rFonts w:ascii="Verdana" w:hAnsi="Verdana" w:cs="Verdana"/>
          <w:sz w:val="16"/>
          <w:szCs w:val="16"/>
          <w:lang w:val="en-GB"/>
        </w:rPr>
        <w:t>“</w:t>
      </w:r>
    </w:p>
    <w:p w:rsidR="006B537B" w:rsidRPr="00353FCF" w:rsidRDefault="006B537B" w:rsidP="00B916EA">
      <w:pPr>
        <w:pStyle w:val="BodyText"/>
        <w:spacing w:before="120"/>
        <w:rPr>
          <w:rFonts w:ascii="Verdana" w:hAnsi="Verdana"/>
          <w:noProof/>
          <w:sz w:val="16"/>
          <w:szCs w:val="16"/>
          <w:lang w:val="en-GB"/>
        </w:rPr>
      </w:pPr>
    </w:p>
    <w:p w:rsidR="00B916EA" w:rsidRPr="00353FCF" w:rsidRDefault="00613DB6" w:rsidP="00B916EA">
      <w:pPr>
        <w:autoSpaceDE w:val="0"/>
        <w:autoSpaceDN w:val="0"/>
        <w:adjustRightInd w:val="0"/>
        <w:jc w:val="both"/>
        <w:rPr>
          <w:rFonts w:ascii="Verdana" w:hAnsi="Verdana" w:cs="Verdana"/>
          <w:b/>
          <w:bCs/>
          <w:color w:val="000000"/>
          <w:sz w:val="22"/>
          <w:szCs w:val="22"/>
          <w:lang w:val="en-GB"/>
        </w:rPr>
      </w:pPr>
      <w:r w:rsidRPr="00353FCF">
        <w:rPr>
          <w:rFonts w:ascii="Verdana" w:hAnsi="Verdana" w:cs="Verdana"/>
          <w:b/>
          <w:bCs/>
          <w:color w:val="000000"/>
          <w:sz w:val="22"/>
          <w:szCs w:val="22"/>
          <w:lang w:val="en-GB"/>
        </w:rPr>
        <w:t>Prospects</w:t>
      </w:r>
    </w:p>
    <w:p w:rsidR="00B916EA" w:rsidRPr="00353FCF" w:rsidRDefault="00B916EA" w:rsidP="00B916EA">
      <w:pPr>
        <w:autoSpaceDE w:val="0"/>
        <w:autoSpaceDN w:val="0"/>
        <w:adjustRightInd w:val="0"/>
        <w:jc w:val="both"/>
        <w:rPr>
          <w:rFonts w:ascii="Verdana" w:hAnsi="Verdana" w:cs="Verdana"/>
          <w:color w:val="0070C0"/>
          <w:sz w:val="16"/>
          <w:szCs w:val="16"/>
          <w:lang w:val="en-GB"/>
        </w:rPr>
      </w:pPr>
    </w:p>
    <w:p w:rsidR="00613DB6" w:rsidRPr="00353FCF" w:rsidRDefault="00613DB6" w:rsidP="00613DB6">
      <w:pPr>
        <w:autoSpaceDE w:val="0"/>
        <w:autoSpaceDN w:val="0"/>
        <w:adjustRightInd w:val="0"/>
        <w:jc w:val="both"/>
        <w:rPr>
          <w:rFonts w:ascii="Verdana" w:hAnsi="Verdana" w:cs="Verdana"/>
          <w:sz w:val="16"/>
          <w:szCs w:val="16"/>
          <w:lang w:val="en-GB"/>
        </w:rPr>
      </w:pPr>
      <w:r w:rsidRPr="00353FCF">
        <w:rPr>
          <w:rFonts w:ascii="Verdana" w:hAnsi="Verdana" w:cs="Verdana"/>
          <w:sz w:val="16"/>
          <w:szCs w:val="16"/>
          <w:lang w:val="en-GB"/>
        </w:rPr>
        <w:t>Global economic developments in the months ahead</w:t>
      </w:r>
      <w:r w:rsidR="00C60D10">
        <w:rPr>
          <w:rFonts w:ascii="Verdana" w:hAnsi="Verdana" w:cs="Verdana"/>
          <w:sz w:val="16"/>
          <w:szCs w:val="16"/>
          <w:lang w:val="en-GB"/>
        </w:rPr>
        <w:t xml:space="preserve"> </w:t>
      </w:r>
      <w:r w:rsidRPr="00353FCF">
        <w:rPr>
          <w:rFonts w:ascii="Verdana" w:hAnsi="Verdana" w:cs="Verdana"/>
          <w:sz w:val="16"/>
          <w:szCs w:val="16"/>
          <w:lang w:val="en-GB"/>
        </w:rPr>
        <w:t xml:space="preserve">will heavily influence the company‘s prospects. The number of received orders shrank significantly when the international financial crisis struck in October last year. Some customers also requested deferment of contracts already signed. </w:t>
      </w:r>
      <w:r w:rsidR="001B3B83">
        <w:rPr>
          <w:rFonts w:ascii="Verdana" w:hAnsi="Verdana" w:cs="Verdana"/>
          <w:sz w:val="16"/>
          <w:szCs w:val="16"/>
          <w:lang w:val="en-GB"/>
        </w:rPr>
        <w:t>I</w:t>
      </w:r>
      <w:r w:rsidRPr="00353FCF">
        <w:rPr>
          <w:rFonts w:ascii="Verdana" w:hAnsi="Verdana" w:cs="Verdana"/>
          <w:sz w:val="16"/>
          <w:szCs w:val="16"/>
          <w:lang w:val="en-GB"/>
        </w:rPr>
        <w:t>n December and January</w:t>
      </w:r>
      <w:r w:rsidR="00545CF1">
        <w:rPr>
          <w:rFonts w:ascii="Verdana" w:hAnsi="Verdana" w:cs="Verdana"/>
          <w:sz w:val="16"/>
          <w:szCs w:val="16"/>
          <w:lang w:val="en-GB"/>
        </w:rPr>
        <w:t xml:space="preserve"> however</w:t>
      </w:r>
      <w:r w:rsidR="001B3B83">
        <w:rPr>
          <w:rFonts w:ascii="Verdana" w:hAnsi="Verdana" w:cs="Verdana"/>
          <w:sz w:val="16"/>
          <w:szCs w:val="16"/>
          <w:lang w:val="en-GB"/>
        </w:rPr>
        <w:t>, the development with regard to orders received was positive.</w:t>
      </w:r>
    </w:p>
    <w:p w:rsidR="00613DB6" w:rsidRPr="00353FCF" w:rsidRDefault="00613DB6" w:rsidP="00613DB6">
      <w:pPr>
        <w:autoSpaceDE w:val="0"/>
        <w:autoSpaceDN w:val="0"/>
        <w:adjustRightInd w:val="0"/>
        <w:jc w:val="both"/>
        <w:rPr>
          <w:rFonts w:ascii="Verdana" w:hAnsi="Verdana" w:cs="Verdana"/>
          <w:sz w:val="16"/>
          <w:szCs w:val="16"/>
          <w:lang w:val="en-GB"/>
        </w:rPr>
      </w:pPr>
    </w:p>
    <w:p w:rsidR="00613DB6" w:rsidRPr="00353FCF" w:rsidRDefault="00613DB6" w:rsidP="00613DB6">
      <w:pPr>
        <w:autoSpaceDE w:val="0"/>
        <w:autoSpaceDN w:val="0"/>
        <w:adjustRightInd w:val="0"/>
        <w:jc w:val="both"/>
        <w:rPr>
          <w:rFonts w:ascii="Verdana" w:hAnsi="Verdana" w:cs="Verdana"/>
          <w:sz w:val="16"/>
          <w:szCs w:val="16"/>
          <w:lang w:val="en-GB"/>
        </w:rPr>
      </w:pPr>
      <w:r w:rsidRPr="00353FCF">
        <w:rPr>
          <w:rFonts w:ascii="Verdana" w:hAnsi="Verdana" w:cs="Verdana"/>
          <w:sz w:val="16"/>
          <w:szCs w:val="16"/>
          <w:lang w:val="en-GB"/>
        </w:rPr>
        <w:t xml:space="preserve">The company‘s product sales can be divided into three </w:t>
      </w:r>
      <w:r w:rsidR="001B3B83">
        <w:rPr>
          <w:rFonts w:ascii="Verdana" w:hAnsi="Verdana" w:cs="Verdana"/>
          <w:sz w:val="16"/>
          <w:szCs w:val="16"/>
          <w:lang w:val="en-GB"/>
        </w:rPr>
        <w:t xml:space="preserve">roughly equal </w:t>
      </w:r>
      <w:r w:rsidRPr="00353FCF">
        <w:rPr>
          <w:rFonts w:ascii="Verdana" w:hAnsi="Verdana" w:cs="Verdana"/>
          <w:sz w:val="16"/>
          <w:szCs w:val="16"/>
          <w:lang w:val="en-GB"/>
        </w:rPr>
        <w:t>categories:</w:t>
      </w:r>
    </w:p>
    <w:p w:rsidR="00613DB6" w:rsidRPr="00353FCF" w:rsidRDefault="00613DB6" w:rsidP="00613DB6">
      <w:pPr>
        <w:pStyle w:val="ListParagraph"/>
        <w:numPr>
          <w:ilvl w:val="0"/>
          <w:numId w:val="17"/>
        </w:numPr>
        <w:autoSpaceDE w:val="0"/>
        <w:autoSpaceDN w:val="0"/>
        <w:adjustRightInd w:val="0"/>
        <w:jc w:val="both"/>
        <w:rPr>
          <w:rFonts w:ascii="Verdana" w:hAnsi="Verdana" w:cs="Verdana"/>
          <w:sz w:val="16"/>
          <w:szCs w:val="16"/>
          <w:lang w:val="en-GB"/>
        </w:rPr>
      </w:pPr>
      <w:r w:rsidRPr="00353FCF">
        <w:rPr>
          <w:rFonts w:ascii="Verdana" w:hAnsi="Verdana" w:cs="Verdana"/>
          <w:sz w:val="16"/>
          <w:szCs w:val="16"/>
          <w:lang w:val="en-GB"/>
        </w:rPr>
        <w:t xml:space="preserve">The sale of spare parts and service, which </w:t>
      </w:r>
      <w:r w:rsidR="001B3B83">
        <w:rPr>
          <w:rFonts w:ascii="Verdana" w:hAnsi="Verdana" w:cs="Verdana"/>
          <w:sz w:val="16"/>
          <w:szCs w:val="16"/>
          <w:lang w:val="en-GB"/>
        </w:rPr>
        <w:t>i</w:t>
      </w:r>
      <w:r w:rsidRPr="00353FCF">
        <w:rPr>
          <w:rFonts w:ascii="Verdana" w:hAnsi="Verdana" w:cs="Verdana"/>
          <w:sz w:val="16"/>
          <w:szCs w:val="16"/>
          <w:lang w:val="en-GB"/>
        </w:rPr>
        <w:t>s virtually immune to the effects of the financial crisis.</w:t>
      </w:r>
    </w:p>
    <w:p w:rsidR="00613DB6" w:rsidRPr="00353FCF" w:rsidRDefault="00613DB6" w:rsidP="00613DB6">
      <w:pPr>
        <w:pStyle w:val="ListParagraph"/>
        <w:numPr>
          <w:ilvl w:val="0"/>
          <w:numId w:val="17"/>
        </w:numPr>
        <w:autoSpaceDE w:val="0"/>
        <w:autoSpaceDN w:val="0"/>
        <w:adjustRightInd w:val="0"/>
        <w:jc w:val="both"/>
        <w:rPr>
          <w:rFonts w:ascii="Verdana" w:hAnsi="Verdana" w:cs="Verdana"/>
          <w:sz w:val="16"/>
          <w:szCs w:val="16"/>
          <w:lang w:val="en-GB"/>
        </w:rPr>
      </w:pPr>
      <w:r w:rsidRPr="00353FCF">
        <w:rPr>
          <w:rFonts w:ascii="Verdana" w:hAnsi="Verdana" w:cs="Verdana"/>
          <w:sz w:val="16"/>
          <w:szCs w:val="16"/>
          <w:lang w:val="en-GB"/>
        </w:rPr>
        <w:t xml:space="preserve">The sale of standard equipment and smaller solutions to existing factories, which </w:t>
      </w:r>
      <w:r w:rsidR="001B3B83">
        <w:rPr>
          <w:rFonts w:ascii="Verdana" w:hAnsi="Verdana" w:cs="Verdana"/>
          <w:sz w:val="16"/>
          <w:szCs w:val="16"/>
          <w:lang w:val="en-GB"/>
        </w:rPr>
        <w:t>has so far not felt t</w:t>
      </w:r>
      <w:r w:rsidRPr="00353FCF">
        <w:rPr>
          <w:rFonts w:ascii="Verdana" w:hAnsi="Verdana" w:cs="Verdana"/>
          <w:sz w:val="16"/>
          <w:szCs w:val="16"/>
          <w:lang w:val="en-GB"/>
        </w:rPr>
        <w:t xml:space="preserve">he effects of the financial crisis </w:t>
      </w:r>
      <w:r w:rsidR="001B3B83">
        <w:rPr>
          <w:rFonts w:ascii="Verdana" w:hAnsi="Verdana" w:cs="Verdana"/>
          <w:sz w:val="16"/>
          <w:szCs w:val="16"/>
          <w:lang w:val="en-GB"/>
        </w:rPr>
        <w:t xml:space="preserve">to a significant degree. </w:t>
      </w:r>
    </w:p>
    <w:p w:rsidR="00613DB6" w:rsidRPr="00353FCF" w:rsidRDefault="00613DB6" w:rsidP="00613DB6">
      <w:pPr>
        <w:pStyle w:val="ListParagraph"/>
        <w:numPr>
          <w:ilvl w:val="0"/>
          <w:numId w:val="17"/>
        </w:numPr>
        <w:autoSpaceDE w:val="0"/>
        <w:autoSpaceDN w:val="0"/>
        <w:adjustRightInd w:val="0"/>
        <w:jc w:val="both"/>
        <w:rPr>
          <w:rFonts w:ascii="Verdana" w:hAnsi="Verdana" w:cs="Verdana"/>
          <w:sz w:val="16"/>
          <w:szCs w:val="16"/>
          <w:lang w:val="en-GB"/>
        </w:rPr>
      </w:pPr>
      <w:r w:rsidRPr="00353FCF">
        <w:rPr>
          <w:rFonts w:ascii="Verdana" w:hAnsi="Verdana" w:cs="Verdana"/>
          <w:sz w:val="16"/>
          <w:szCs w:val="16"/>
          <w:lang w:val="en-GB"/>
        </w:rPr>
        <w:t xml:space="preserve">The sale of large systems, often for new factories, </w:t>
      </w:r>
      <w:r w:rsidR="001B3B83">
        <w:rPr>
          <w:rFonts w:ascii="Verdana" w:hAnsi="Verdana" w:cs="Verdana"/>
          <w:sz w:val="16"/>
          <w:szCs w:val="16"/>
          <w:lang w:val="en-GB"/>
        </w:rPr>
        <w:t xml:space="preserve">which has </w:t>
      </w:r>
      <w:r w:rsidR="006509DD">
        <w:rPr>
          <w:rFonts w:ascii="Verdana" w:hAnsi="Verdana" w:cs="Verdana"/>
          <w:sz w:val="16"/>
          <w:szCs w:val="16"/>
          <w:lang w:val="en-GB"/>
        </w:rPr>
        <w:t>suffered</w:t>
      </w:r>
      <w:r w:rsidR="001B3B83">
        <w:rPr>
          <w:rFonts w:ascii="Verdana" w:hAnsi="Verdana" w:cs="Verdana"/>
          <w:sz w:val="16"/>
          <w:szCs w:val="16"/>
          <w:lang w:val="en-GB"/>
        </w:rPr>
        <w:t xml:space="preserve"> a </w:t>
      </w:r>
      <w:r w:rsidRPr="00353FCF">
        <w:rPr>
          <w:rFonts w:ascii="Verdana" w:hAnsi="Verdana" w:cs="Verdana"/>
          <w:sz w:val="16"/>
          <w:szCs w:val="16"/>
          <w:lang w:val="en-GB"/>
        </w:rPr>
        <w:t xml:space="preserve">significant </w:t>
      </w:r>
      <w:r w:rsidR="001B3B83">
        <w:rPr>
          <w:rFonts w:ascii="Verdana" w:hAnsi="Verdana" w:cs="Verdana"/>
          <w:sz w:val="16"/>
          <w:szCs w:val="16"/>
          <w:lang w:val="en-GB"/>
        </w:rPr>
        <w:t>reduction</w:t>
      </w:r>
      <w:r w:rsidRPr="00353FCF">
        <w:rPr>
          <w:rFonts w:ascii="Verdana" w:hAnsi="Verdana" w:cs="Verdana"/>
          <w:sz w:val="16"/>
          <w:szCs w:val="16"/>
          <w:lang w:val="en-GB"/>
        </w:rPr>
        <w:t xml:space="preserve"> in the fourth quarter of </w:t>
      </w:r>
      <w:r w:rsidR="001E100F">
        <w:rPr>
          <w:rFonts w:ascii="Verdana" w:hAnsi="Verdana" w:cs="Verdana"/>
          <w:sz w:val="16"/>
          <w:szCs w:val="16"/>
          <w:lang w:val="en-GB"/>
        </w:rPr>
        <w:t>2008</w:t>
      </w:r>
      <w:r w:rsidRPr="00353FCF">
        <w:rPr>
          <w:rFonts w:ascii="Verdana" w:hAnsi="Verdana" w:cs="Verdana"/>
          <w:sz w:val="16"/>
          <w:szCs w:val="16"/>
          <w:lang w:val="en-GB"/>
        </w:rPr>
        <w:t>. In most cases, however, the projects have merely been postponed. It is likely, therefore, that an accumulated need will have built up by the time that conditions in the financial markets improve.</w:t>
      </w:r>
    </w:p>
    <w:p w:rsidR="00613DB6" w:rsidRPr="00353FCF" w:rsidRDefault="00613DB6" w:rsidP="00613DB6">
      <w:pPr>
        <w:autoSpaceDE w:val="0"/>
        <w:autoSpaceDN w:val="0"/>
        <w:adjustRightInd w:val="0"/>
        <w:jc w:val="both"/>
        <w:rPr>
          <w:rFonts w:ascii="Verdana" w:hAnsi="Verdana" w:cs="Verdana"/>
          <w:sz w:val="16"/>
          <w:szCs w:val="16"/>
          <w:lang w:val="en-GB"/>
        </w:rPr>
      </w:pPr>
    </w:p>
    <w:p w:rsidR="00613DB6" w:rsidRPr="00353FCF" w:rsidRDefault="00613DB6" w:rsidP="00613DB6">
      <w:pPr>
        <w:autoSpaceDE w:val="0"/>
        <w:autoSpaceDN w:val="0"/>
        <w:adjustRightInd w:val="0"/>
        <w:jc w:val="both"/>
        <w:rPr>
          <w:rFonts w:ascii="Verdana" w:hAnsi="Verdana" w:cs="Verdana"/>
          <w:sz w:val="16"/>
          <w:szCs w:val="16"/>
          <w:lang w:val="en-GB"/>
        </w:rPr>
      </w:pPr>
      <w:r w:rsidRPr="00353FCF">
        <w:rPr>
          <w:rFonts w:ascii="Verdana" w:hAnsi="Verdana" w:cs="Verdana"/>
          <w:sz w:val="16"/>
          <w:szCs w:val="16"/>
          <w:lang w:val="en-GB"/>
        </w:rPr>
        <w:t xml:space="preserve">The company has already introduced measures to reduce costs. </w:t>
      </w:r>
      <w:r w:rsidR="00F50A76">
        <w:rPr>
          <w:rFonts w:ascii="Verdana" w:hAnsi="Verdana" w:cs="Verdana"/>
          <w:sz w:val="16"/>
          <w:szCs w:val="16"/>
          <w:lang w:val="en-GB"/>
        </w:rPr>
        <w:t>T</w:t>
      </w:r>
      <w:r w:rsidRPr="00353FCF">
        <w:rPr>
          <w:rFonts w:ascii="Verdana" w:hAnsi="Verdana" w:cs="Verdana"/>
          <w:sz w:val="16"/>
          <w:szCs w:val="16"/>
          <w:lang w:val="en-GB"/>
        </w:rPr>
        <w:t xml:space="preserve">he number of employees </w:t>
      </w:r>
      <w:r w:rsidR="007558E8">
        <w:rPr>
          <w:rFonts w:ascii="Verdana" w:hAnsi="Verdana" w:cs="Verdana"/>
          <w:sz w:val="16"/>
          <w:szCs w:val="16"/>
          <w:lang w:val="en-GB"/>
        </w:rPr>
        <w:t xml:space="preserve">at Marel Food Systems’ companies outside Iceland </w:t>
      </w:r>
      <w:r w:rsidRPr="00353FCF">
        <w:rPr>
          <w:rFonts w:ascii="Verdana" w:hAnsi="Verdana" w:cs="Verdana"/>
          <w:sz w:val="16"/>
          <w:szCs w:val="16"/>
          <w:lang w:val="en-GB"/>
        </w:rPr>
        <w:t xml:space="preserve">was reduced by 300 and restraint has been exercised in all areas of the company‘s operations. It is expected that the measures undertaken will result in </w:t>
      </w:r>
      <w:r w:rsidR="00F50A76">
        <w:rPr>
          <w:rFonts w:ascii="Verdana" w:hAnsi="Verdana" w:cs="Verdana"/>
          <w:sz w:val="16"/>
          <w:szCs w:val="16"/>
          <w:lang w:val="en-GB"/>
        </w:rPr>
        <w:t xml:space="preserve">reduced costs </w:t>
      </w:r>
      <w:r w:rsidRPr="00353FCF">
        <w:rPr>
          <w:rFonts w:ascii="Verdana" w:hAnsi="Verdana" w:cs="Verdana"/>
          <w:sz w:val="16"/>
          <w:szCs w:val="16"/>
          <w:lang w:val="en-GB"/>
        </w:rPr>
        <w:t xml:space="preserve">amounting to </w:t>
      </w:r>
      <w:r w:rsidR="001E100F">
        <w:rPr>
          <w:rFonts w:ascii="Verdana" w:hAnsi="Verdana" w:cs="Verdana"/>
          <w:sz w:val="16"/>
          <w:szCs w:val="16"/>
          <w:lang w:val="en-GB"/>
        </w:rPr>
        <w:t>EUR</w:t>
      </w:r>
      <w:r w:rsidRPr="00353FCF">
        <w:rPr>
          <w:rFonts w:ascii="Verdana" w:hAnsi="Verdana" w:cs="Verdana"/>
          <w:sz w:val="16"/>
          <w:szCs w:val="16"/>
          <w:lang w:val="en-GB"/>
        </w:rPr>
        <w:t xml:space="preserve"> </w:t>
      </w:r>
      <w:r w:rsidR="001E100F">
        <w:rPr>
          <w:rFonts w:ascii="Verdana" w:hAnsi="Verdana" w:cs="Verdana"/>
          <w:sz w:val="16"/>
          <w:szCs w:val="16"/>
          <w:lang w:val="en-GB"/>
        </w:rPr>
        <w:t>12-</w:t>
      </w:r>
      <w:r w:rsidRPr="00353FCF">
        <w:rPr>
          <w:rFonts w:ascii="Verdana" w:hAnsi="Verdana" w:cs="Verdana"/>
          <w:sz w:val="16"/>
          <w:szCs w:val="16"/>
          <w:lang w:val="en-GB"/>
        </w:rPr>
        <w:t>15 million in 2009. Efforts to increase efficiency</w:t>
      </w:r>
      <w:r w:rsidR="001E100F">
        <w:rPr>
          <w:rFonts w:ascii="Verdana" w:hAnsi="Verdana" w:cs="Verdana"/>
          <w:sz w:val="16"/>
          <w:szCs w:val="16"/>
          <w:lang w:val="en-GB"/>
        </w:rPr>
        <w:t xml:space="preserve">, </w:t>
      </w:r>
      <w:r w:rsidRPr="00353FCF">
        <w:rPr>
          <w:rFonts w:ascii="Verdana" w:hAnsi="Verdana" w:cs="Verdana"/>
          <w:sz w:val="16"/>
          <w:szCs w:val="16"/>
          <w:lang w:val="en-GB"/>
        </w:rPr>
        <w:t xml:space="preserve">reduce costs </w:t>
      </w:r>
      <w:r w:rsidR="001E100F">
        <w:rPr>
          <w:rFonts w:ascii="Verdana" w:hAnsi="Verdana" w:cs="Verdana"/>
          <w:sz w:val="16"/>
          <w:szCs w:val="16"/>
          <w:lang w:val="en-GB"/>
        </w:rPr>
        <w:t xml:space="preserve">and improve the allocation of financial resources </w:t>
      </w:r>
      <w:r w:rsidRPr="00353FCF">
        <w:rPr>
          <w:rFonts w:ascii="Verdana" w:hAnsi="Verdana" w:cs="Verdana"/>
          <w:sz w:val="16"/>
          <w:szCs w:val="16"/>
          <w:lang w:val="en-GB"/>
        </w:rPr>
        <w:t>will continue.</w:t>
      </w:r>
    </w:p>
    <w:p w:rsidR="00613DB6" w:rsidRDefault="00613DB6" w:rsidP="00613DB6">
      <w:pPr>
        <w:autoSpaceDE w:val="0"/>
        <w:autoSpaceDN w:val="0"/>
        <w:adjustRightInd w:val="0"/>
        <w:jc w:val="both"/>
        <w:rPr>
          <w:rFonts w:ascii="Verdana" w:hAnsi="Verdana" w:cs="Verdana"/>
          <w:sz w:val="16"/>
          <w:szCs w:val="16"/>
          <w:lang w:val="en-GB"/>
        </w:rPr>
      </w:pPr>
    </w:p>
    <w:p w:rsidR="00613DB6" w:rsidRPr="00353FCF" w:rsidRDefault="00613DB6" w:rsidP="00613DB6">
      <w:pPr>
        <w:autoSpaceDE w:val="0"/>
        <w:autoSpaceDN w:val="0"/>
        <w:adjustRightInd w:val="0"/>
        <w:jc w:val="both"/>
        <w:rPr>
          <w:rFonts w:ascii="Verdana" w:hAnsi="Verdana" w:cs="Verdana"/>
          <w:sz w:val="16"/>
          <w:szCs w:val="16"/>
          <w:lang w:val="en-GB"/>
        </w:rPr>
      </w:pPr>
      <w:r w:rsidRPr="00353FCF">
        <w:rPr>
          <w:rFonts w:ascii="Verdana" w:hAnsi="Verdana" w:cs="Verdana"/>
          <w:sz w:val="16"/>
          <w:szCs w:val="16"/>
          <w:lang w:val="en-GB"/>
        </w:rPr>
        <w:t>The drop in raw material prices in recent weeks will have a positive effect on the company, both directly through reduced production costs related to the decrease in the price of stainless steel, and indirectly through lower corn prices, which will improve operational results of our customers.</w:t>
      </w:r>
    </w:p>
    <w:p w:rsidR="00613DB6" w:rsidRPr="00353FCF" w:rsidRDefault="00613DB6" w:rsidP="00613DB6">
      <w:pPr>
        <w:autoSpaceDE w:val="0"/>
        <w:autoSpaceDN w:val="0"/>
        <w:adjustRightInd w:val="0"/>
        <w:jc w:val="both"/>
        <w:rPr>
          <w:rFonts w:ascii="Verdana" w:hAnsi="Verdana" w:cs="Verdana"/>
          <w:sz w:val="16"/>
          <w:szCs w:val="16"/>
          <w:lang w:val="en-GB"/>
        </w:rPr>
      </w:pPr>
    </w:p>
    <w:p w:rsidR="001E100F" w:rsidRDefault="001E100F" w:rsidP="00613DB6">
      <w:pPr>
        <w:autoSpaceDE w:val="0"/>
        <w:autoSpaceDN w:val="0"/>
        <w:adjustRightInd w:val="0"/>
        <w:jc w:val="both"/>
        <w:rPr>
          <w:rFonts w:ascii="Verdana" w:hAnsi="Verdana" w:cs="Verdana"/>
          <w:sz w:val="16"/>
          <w:szCs w:val="16"/>
          <w:lang w:val="en-GB"/>
        </w:rPr>
      </w:pPr>
      <w:r>
        <w:rPr>
          <w:rFonts w:ascii="Verdana" w:hAnsi="Verdana" w:cs="Verdana"/>
          <w:sz w:val="16"/>
          <w:szCs w:val="16"/>
          <w:lang w:val="en-GB"/>
        </w:rPr>
        <w:t xml:space="preserve">In general, there is a good balance in the currency composition of earnings and expenses. Nevertheless, less than 1% of the company’s earnings are in Icelandic krona compared with </w:t>
      </w:r>
      <w:r w:rsidR="003B05E1">
        <w:rPr>
          <w:rFonts w:ascii="Verdana" w:hAnsi="Verdana" w:cs="Verdana"/>
          <w:sz w:val="16"/>
          <w:szCs w:val="16"/>
          <w:lang w:val="en-GB"/>
        </w:rPr>
        <w:t>5</w:t>
      </w:r>
      <w:r>
        <w:rPr>
          <w:rFonts w:ascii="Verdana" w:hAnsi="Verdana" w:cs="Verdana"/>
          <w:sz w:val="16"/>
          <w:szCs w:val="16"/>
          <w:lang w:val="en-GB"/>
        </w:rPr>
        <w:t xml:space="preserve">% of total cost. The elevated exchange rate of the krona in recent years has had a negative effect on the company’s earnings. The </w:t>
      </w:r>
      <w:r w:rsidR="00F50A76">
        <w:rPr>
          <w:rFonts w:ascii="Verdana" w:hAnsi="Verdana" w:cs="Verdana"/>
          <w:sz w:val="16"/>
          <w:szCs w:val="16"/>
          <w:lang w:val="en-GB"/>
        </w:rPr>
        <w:t xml:space="preserve">recent devaluation of the </w:t>
      </w:r>
      <w:r>
        <w:rPr>
          <w:rFonts w:ascii="Verdana" w:hAnsi="Verdana" w:cs="Verdana"/>
          <w:sz w:val="16"/>
          <w:szCs w:val="16"/>
          <w:lang w:val="en-GB"/>
        </w:rPr>
        <w:t>krona</w:t>
      </w:r>
      <w:r w:rsidR="00F50A76">
        <w:rPr>
          <w:rFonts w:ascii="Verdana" w:hAnsi="Verdana" w:cs="Verdana"/>
          <w:sz w:val="16"/>
          <w:szCs w:val="16"/>
          <w:lang w:val="en-GB"/>
        </w:rPr>
        <w:t xml:space="preserve"> </w:t>
      </w:r>
      <w:r>
        <w:rPr>
          <w:rFonts w:ascii="Verdana" w:hAnsi="Verdana" w:cs="Verdana"/>
          <w:sz w:val="16"/>
          <w:szCs w:val="16"/>
          <w:lang w:val="en-GB"/>
        </w:rPr>
        <w:t xml:space="preserve">rate has been beneficial </w:t>
      </w:r>
      <w:r w:rsidR="00F50A76">
        <w:rPr>
          <w:rFonts w:ascii="Verdana" w:hAnsi="Verdana" w:cs="Verdana"/>
          <w:sz w:val="16"/>
          <w:szCs w:val="16"/>
          <w:lang w:val="en-GB"/>
        </w:rPr>
        <w:t>to</w:t>
      </w:r>
      <w:r>
        <w:rPr>
          <w:rFonts w:ascii="Verdana" w:hAnsi="Verdana" w:cs="Verdana"/>
          <w:sz w:val="16"/>
          <w:szCs w:val="16"/>
          <w:lang w:val="en-GB"/>
        </w:rPr>
        <w:t xml:space="preserve"> the company.</w:t>
      </w:r>
    </w:p>
    <w:p w:rsidR="001E100F" w:rsidRDefault="001E100F" w:rsidP="00613DB6">
      <w:pPr>
        <w:autoSpaceDE w:val="0"/>
        <w:autoSpaceDN w:val="0"/>
        <w:adjustRightInd w:val="0"/>
        <w:jc w:val="both"/>
        <w:rPr>
          <w:rFonts w:ascii="Verdana" w:hAnsi="Verdana" w:cs="Verdana"/>
          <w:sz w:val="16"/>
          <w:szCs w:val="16"/>
          <w:lang w:val="en-GB"/>
        </w:rPr>
      </w:pPr>
    </w:p>
    <w:p w:rsidR="00613DB6" w:rsidRPr="00353FCF" w:rsidRDefault="00613DB6" w:rsidP="00613DB6">
      <w:pPr>
        <w:autoSpaceDE w:val="0"/>
        <w:autoSpaceDN w:val="0"/>
        <w:adjustRightInd w:val="0"/>
        <w:jc w:val="both"/>
        <w:rPr>
          <w:rFonts w:ascii="Verdana" w:hAnsi="Verdana" w:cs="Verdana"/>
          <w:sz w:val="16"/>
          <w:szCs w:val="16"/>
          <w:lang w:val="en-GB"/>
        </w:rPr>
      </w:pPr>
      <w:r w:rsidRPr="00353FCF">
        <w:rPr>
          <w:rFonts w:ascii="Verdana" w:hAnsi="Verdana" w:cs="Verdana"/>
          <w:sz w:val="16"/>
          <w:szCs w:val="16"/>
          <w:lang w:val="en-GB"/>
        </w:rPr>
        <w:t xml:space="preserve">It is likely that the lowest point with regard to orders received was reached in October and November of last year. However, the recovery is likely to be slow in the coming months and </w:t>
      </w:r>
      <w:r w:rsidR="006B537B">
        <w:rPr>
          <w:rFonts w:ascii="Verdana" w:hAnsi="Verdana" w:cs="Verdana"/>
          <w:sz w:val="16"/>
          <w:szCs w:val="16"/>
          <w:lang w:val="en-GB"/>
        </w:rPr>
        <w:t>vary</w:t>
      </w:r>
      <w:r w:rsidRPr="00353FCF">
        <w:rPr>
          <w:rFonts w:ascii="Verdana" w:hAnsi="Verdana" w:cs="Verdana"/>
          <w:sz w:val="16"/>
          <w:szCs w:val="16"/>
          <w:lang w:val="en-GB"/>
        </w:rPr>
        <w:t xml:space="preserve"> from one market area to another. The positive effects of the recovery on the company‘s operations are not likely to be felt to a noticeable degree until the latter part of the year.</w:t>
      </w:r>
    </w:p>
    <w:p w:rsidR="00613DB6" w:rsidRPr="00353FCF" w:rsidRDefault="00613DB6" w:rsidP="00613DB6">
      <w:pPr>
        <w:autoSpaceDE w:val="0"/>
        <w:autoSpaceDN w:val="0"/>
        <w:adjustRightInd w:val="0"/>
        <w:jc w:val="both"/>
        <w:rPr>
          <w:rFonts w:ascii="Verdana" w:hAnsi="Verdana" w:cs="Verdana"/>
          <w:sz w:val="16"/>
          <w:szCs w:val="16"/>
          <w:lang w:val="en-GB"/>
        </w:rPr>
      </w:pPr>
    </w:p>
    <w:p w:rsidR="00613DB6" w:rsidRPr="00353FCF" w:rsidRDefault="00613DB6" w:rsidP="00613DB6">
      <w:pPr>
        <w:autoSpaceDE w:val="0"/>
        <w:autoSpaceDN w:val="0"/>
        <w:adjustRightInd w:val="0"/>
        <w:jc w:val="both"/>
        <w:rPr>
          <w:rFonts w:ascii="Verdana" w:hAnsi="Verdana" w:cs="Verdana"/>
          <w:sz w:val="16"/>
          <w:szCs w:val="16"/>
          <w:lang w:val="en-GB"/>
        </w:rPr>
      </w:pPr>
      <w:r w:rsidRPr="00353FCF">
        <w:rPr>
          <w:rFonts w:ascii="Verdana" w:hAnsi="Verdana" w:cs="Verdana"/>
          <w:sz w:val="16"/>
          <w:szCs w:val="16"/>
          <w:lang w:val="en-GB"/>
        </w:rPr>
        <w:t>Compared to most other industries, the food processing industry is well placed to weather the storm of the financial crisis. In fact, the downturn of the international economy will create opportunities for companies in the industry in the months ahead. Consumer habits have already begun to change and will continue to do so. The consumption of less expensive proteins, primarily poultry, is likely to increase substantially. Consumers will also eat out less in restaurants and shop more for “ready-made meals“.</w:t>
      </w:r>
    </w:p>
    <w:p w:rsidR="00613DB6" w:rsidRPr="00353FCF" w:rsidRDefault="00613DB6" w:rsidP="00613DB6">
      <w:pPr>
        <w:autoSpaceDE w:val="0"/>
        <w:autoSpaceDN w:val="0"/>
        <w:adjustRightInd w:val="0"/>
        <w:jc w:val="both"/>
        <w:rPr>
          <w:rFonts w:ascii="Verdana" w:hAnsi="Verdana" w:cs="Verdana"/>
          <w:sz w:val="16"/>
          <w:szCs w:val="16"/>
          <w:lang w:val="en-GB"/>
        </w:rPr>
      </w:pPr>
    </w:p>
    <w:p w:rsidR="00B916EA" w:rsidRPr="00353FCF" w:rsidRDefault="00613DB6" w:rsidP="00613DB6">
      <w:pPr>
        <w:autoSpaceDE w:val="0"/>
        <w:autoSpaceDN w:val="0"/>
        <w:adjustRightInd w:val="0"/>
        <w:jc w:val="both"/>
        <w:rPr>
          <w:rFonts w:ascii="Verdana" w:hAnsi="Verdana" w:cs="Verdana"/>
          <w:sz w:val="16"/>
          <w:szCs w:val="16"/>
          <w:lang w:val="en-GB"/>
        </w:rPr>
      </w:pPr>
      <w:r w:rsidRPr="00353FCF">
        <w:rPr>
          <w:rFonts w:ascii="Verdana" w:hAnsi="Verdana" w:cs="Verdana"/>
          <w:sz w:val="16"/>
          <w:szCs w:val="16"/>
          <w:lang w:val="en-GB"/>
        </w:rPr>
        <w:t xml:space="preserve">This development will benefit Marel Food Systems as it calls for the development of ever more efficient processing equipment and systems, especially for the processing of poultry and fish – two industry segments where Marel Food Systems </w:t>
      </w:r>
      <w:r w:rsidR="000E08FB">
        <w:rPr>
          <w:rFonts w:ascii="Verdana" w:hAnsi="Verdana" w:cs="Verdana"/>
          <w:sz w:val="16"/>
          <w:szCs w:val="16"/>
          <w:lang w:val="en-GB"/>
        </w:rPr>
        <w:t xml:space="preserve">is </w:t>
      </w:r>
      <w:r w:rsidRPr="00353FCF">
        <w:rPr>
          <w:rFonts w:ascii="Verdana" w:hAnsi="Verdana" w:cs="Verdana"/>
          <w:sz w:val="16"/>
          <w:szCs w:val="16"/>
          <w:lang w:val="en-GB"/>
        </w:rPr>
        <w:t xml:space="preserve">the global leader. Moreover, the drop in </w:t>
      </w:r>
      <w:r w:rsidR="001E100F">
        <w:rPr>
          <w:rFonts w:ascii="Verdana" w:hAnsi="Verdana" w:cs="Verdana"/>
          <w:sz w:val="16"/>
          <w:szCs w:val="16"/>
          <w:lang w:val="en-GB"/>
        </w:rPr>
        <w:t xml:space="preserve">corn prices and </w:t>
      </w:r>
      <w:r w:rsidRPr="00353FCF">
        <w:rPr>
          <w:rFonts w:ascii="Verdana" w:hAnsi="Verdana" w:cs="Verdana"/>
          <w:sz w:val="16"/>
          <w:szCs w:val="16"/>
          <w:lang w:val="en-GB"/>
        </w:rPr>
        <w:t xml:space="preserve">base interest rates will make it easier for food processing companies to make the investment required to be able to respond to changing consumer demands. </w:t>
      </w:r>
    </w:p>
    <w:p w:rsidR="006B537B" w:rsidRDefault="006B537B" w:rsidP="00DB04EA">
      <w:pPr>
        <w:autoSpaceDE w:val="0"/>
        <w:autoSpaceDN w:val="0"/>
        <w:adjustRightInd w:val="0"/>
        <w:rPr>
          <w:rFonts w:ascii="Verdana" w:hAnsi="Verdana" w:cs="Verdana"/>
          <w:b/>
          <w:bCs/>
          <w:color w:val="000000"/>
          <w:sz w:val="22"/>
          <w:szCs w:val="22"/>
          <w:lang w:val="en-GB"/>
        </w:rPr>
      </w:pPr>
    </w:p>
    <w:p w:rsidR="001E100F" w:rsidRPr="00353FCF" w:rsidRDefault="001E100F" w:rsidP="001E100F">
      <w:pPr>
        <w:autoSpaceDE w:val="0"/>
        <w:autoSpaceDN w:val="0"/>
        <w:adjustRightInd w:val="0"/>
        <w:jc w:val="both"/>
        <w:rPr>
          <w:rFonts w:ascii="Verdana" w:hAnsi="Verdana" w:cs="Verdana"/>
          <w:b/>
          <w:bCs/>
          <w:color w:val="000000"/>
          <w:sz w:val="22"/>
          <w:szCs w:val="22"/>
          <w:lang w:val="en-GB"/>
        </w:rPr>
      </w:pPr>
      <w:r w:rsidRPr="00353FCF">
        <w:rPr>
          <w:rFonts w:ascii="Verdana" w:hAnsi="Verdana" w:cs="Verdana"/>
          <w:sz w:val="16"/>
          <w:szCs w:val="16"/>
          <w:lang w:val="en-GB"/>
        </w:rPr>
        <w:t xml:space="preserve">The company‘s expectations are that sales </w:t>
      </w:r>
      <w:r>
        <w:rPr>
          <w:rFonts w:ascii="Verdana" w:hAnsi="Verdana" w:cs="Verdana"/>
          <w:sz w:val="16"/>
          <w:szCs w:val="16"/>
          <w:lang w:val="en-GB"/>
        </w:rPr>
        <w:t>in</w:t>
      </w:r>
      <w:r w:rsidRPr="00353FCF">
        <w:rPr>
          <w:rFonts w:ascii="Verdana" w:hAnsi="Verdana" w:cs="Verdana"/>
          <w:sz w:val="16"/>
          <w:szCs w:val="16"/>
          <w:lang w:val="en-GB"/>
        </w:rPr>
        <w:t xml:space="preserve"> 2009 will decrease </w:t>
      </w:r>
      <w:r w:rsidR="00F50A76">
        <w:rPr>
          <w:rFonts w:ascii="Verdana" w:hAnsi="Verdana" w:cs="Verdana"/>
          <w:sz w:val="16"/>
          <w:szCs w:val="16"/>
          <w:lang w:val="en-GB"/>
        </w:rPr>
        <w:t>by 4-6%</w:t>
      </w:r>
      <w:r w:rsidRPr="00353FCF">
        <w:rPr>
          <w:rFonts w:ascii="Verdana" w:hAnsi="Verdana" w:cs="Verdana"/>
          <w:sz w:val="16"/>
          <w:szCs w:val="16"/>
          <w:lang w:val="en-GB"/>
        </w:rPr>
        <w:t xml:space="preserve">. The profit from operations (EBIT) for the year 2009 is expected to be </w:t>
      </w:r>
      <w:r>
        <w:rPr>
          <w:rFonts w:ascii="Verdana" w:hAnsi="Verdana" w:cs="Verdana"/>
          <w:sz w:val="16"/>
          <w:szCs w:val="16"/>
          <w:lang w:val="en-GB"/>
        </w:rPr>
        <w:t>10-12% in the second half of the year</w:t>
      </w:r>
      <w:r w:rsidR="00F50A76">
        <w:rPr>
          <w:rFonts w:ascii="Verdana" w:hAnsi="Verdana" w:cs="Verdana"/>
          <w:sz w:val="16"/>
          <w:szCs w:val="16"/>
          <w:lang w:val="en-GB"/>
        </w:rPr>
        <w:t>, in keeping with the company’s goals</w:t>
      </w:r>
      <w:r w:rsidRPr="00353FCF">
        <w:rPr>
          <w:rFonts w:ascii="Verdana" w:hAnsi="Verdana" w:cs="Verdana"/>
          <w:sz w:val="16"/>
          <w:szCs w:val="16"/>
          <w:lang w:val="en-GB"/>
        </w:rPr>
        <w:t>.</w:t>
      </w:r>
      <w:r>
        <w:rPr>
          <w:rFonts w:ascii="Verdana" w:hAnsi="Verdana" w:cs="Verdana"/>
          <w:sz w:val="16"/>
          <w:szCs w:val="16"/>
          <w:lang w:val="en-GB"/>
        </w:rPr>
        <w:t xml:space="preserve"> Our valuation of the strong underlying growth in the industry remains unchanged. </w:t>
      </w:r>
      <w:r w:rsidRPr="00353FCF">
        <w:rPr>
          <w:rFonts w:ascii="Verdana" w:hAnsi="Verdana" w:cs="Verdana"/>
          <w:sz w:val="16"/>
          <w:szCs w:val="16"/>
          <w:lang w:val="en-GB"/>
        </w:rPr>
        <w:t>The long-term prospects of the company are good.</w:t>
      </w:r>
    </w:p>
    <w:p w:rsidR="0055629C" w:rsidRPr="00353FCF" w:rsidRDefault="0055629C" w:rsidP="00DB04EA">
      <w:pPr>
        <w:autoSpaceDE w:val="0"/>
        <w:autoSpaceDN w:val="0"/>
        <w:adjustRightInd w:val="0"/>
        <w:rPr>
          <w:rFonts w:ascii="Verdana" w:hAnsi="Verdana" w:cs="Verdana"/>
          <w:b/>
          <w:bCs/>
          <w:color w:val="000000"/>
          <w:sz w:val="22"/>
          <w:szCs w:val="22"/>
          <w:lang w:val="en-GB"/>
        </w:rPr>
      </w:pPr>
    </w:p>
    <w:p w:rsidR="00BE34A8" w:rsidRPr="00353FCF" w:rsidRDefault="00BE34A8" w:rsidP="00BE34A8">
      <w:pPr>
        <w:autoSpaceDE w:val="0"/>
        <w:autoSpaceDN w:val="0"/>
        <w:adjustRightInd w:val="0"/>
        <w:rPr>
          <w:rFonts w:ascii="Verdana" w:hAnsi="Verdana" w:cs="Verdana"/>
          <w:b/>
          <w:bCs/>
          <w:color w:val="000000"/>
          <w:sz w:val="22"/>
          <w:szCs w:val="22"/>
          <w:lang w:val="en-GB"/>
        </w:rPr>
      </w:pPr>
      <w:r w:rsidRPr="00353FCF">
        <w:rPr>
          <w:rFonts w:ascii="Verdana" w:hAnsi="Verdana" w:cs="Verdana"/>
          <w:b/>
          <w:bCs/>
          <w:color w:val="000000"/>
          <w:sz w:val="22"/>
          <w:szCs w:val="22"/>
          <w:lang w:val="en-GB"/>
        </w:rPr>
        <w:t>Performance summary for Q4 2008</w:t>
      </w:r>
    </w:p>
    <w:p w:rsidR="00BE34A8" w:rsidRPr="00353FCF" w:rsidRDefault="00BE34A8" w:rsidP="00BE34A8">
      <w:pPr>
        <w:autoSpaceDE w:val="0"/>
        <w:autoSpaceDN w:val="0"/>
        <w:adjustRightInd w:val="0"/>
        <w:rPr>
          <w:rFonts w:ascii="Verdana" w:hAnsi="Verdana" w:cs="Verdana"/>
          <w:b/>
          <w:bCs/>
          <w:color w:val="000000"/>
          <w:sz w:val="23"/>
          <w:szCs w:val="23"/>
          <w:lang w:val="en-GB"/>
        </w:rPr>
      </w:pPr>
    </w:p>
    <w:p w:rsidR="006944C5" w:rsidRPr="00353FCF" w:rsidRDefault="00BE34A8" w:rsidP="00A41103">
      <w:pPr>
        <w:autoSpaceDE w:val="0"/>
        <w:autoSpaceDN w:val="0"/>
        <w:adjustRightInd w:val="0"/>
        <w:jc w:val="both"/>
        <w:rPr>
          <w:rFonts w:ascii="Verdana" w:hAnsi="Verdana" w:cs="Verdana"/>
          <w:color w:val="000000"/>
          <w:sz w:val="16"/>
          <w:szCs w:val="16"/>
          <w:lang w:val="en-GB"/>
        </w:rPr>
      </w:pPr>
      <w:r w:rsidRPr="00353FCF">
        <w:rPr>
          <w:rFonts w:ascii="Verdana" w:hAnsi="Verdana" w:cs="Verdana"/>
          <w:color w:val="000000"/>
          <w:sz w:val="16"/>
          <w:szCs w:val="16"/>
          <w:lang w:val="en-GB"/>
        </w:rPr>
        <w:t xml:space="preserve">The Interim Financial Statement for Marel Food Systems hf for the year 2008 was </w:t>
      </w:r>
      <w:r w:rsidR="006944C5" w:rsidRPr="00353FCF">
        <w:rPr>
          <w:rFonts w:ascii="Verdana" w:hAnsi="Verdana" w:cs="Verdana"/>
          <w:color w:val="000000"/>
          <w:sz w:val="16"/>
          <w:szCs w:val="16"/>
          <w:lang w:val="en-GB"/>
        </w:rPr>
        <w:t xml:space="preserve">presented to the company’s Board of Directors at a meeting on 10 February 2008. Marel Food Systems hf </w:t>
      </w:r>
      <w:r w:rsidR="006B537B">
        <w:rPr>
          <w:rFonts w:ascii="Verdana" w:hAnsi="Verdana" w:cs="Verdana"/>
          <w:color w:val="000000"/>
          <w:sz w:val="16"/>
          <w:szCs w:val="16"/>
          <w:lang w:val="en-GB"/>
        </w:rPr>
        <w:t xml:space="preserve">hereby presents </w:t>
      </w:r>
      <w:r w:rsidR="006944C5" w:rsidRPr="00353FCF">
        <w:rPr>
          <w:rFonts w:ascii="Verdana" w:hAnsi="Verdana" w:cs="Verdana"/>
          <w:color w:val="000000"/>
          <w:sz w:val="16"/>
          <w:szCs w:val="16"/>
          <w:lang w:val="en-GB"/>
        </w:rPr>
        <w:t>the highlights of its operational results for 2008, financial position at year end and cash flow for the period. The Financial Statement has not yet been approved by the Board of Directors or the company’s auditors. The audited Financial Statement for 2008 will be presented to the Board for approval on 20 February and released on that da</w:t>
      </w:r>
      <w:r w:rsidR="006B537B">
        <w:rPr>
          <w:rFonts w:ascii="Verdana" w:hAnsi="Verdana" w:cs="Verdana"/>
          <w:color w:val="000000"/>
          <w:sz w:val="16"/>
          <w:szCs w:val="16"/>
          <w:lang w:val="en-GB"/>
        </w:rPr>
        <w:t>te</w:t>
      </w:r>
      <w:r w:rsidR="006944C5" w:rsidRPr="00353FCF">
        <w:rPr>
          <w:rFonts w:ascii="Verdana" w:hAnsi="Verdana" w:cs="Verdana"/>
          <w:color w:val="000000"/>
          <w:sz w:val="16"/>
          <w:szCs w:val="16"/>
          <w:lang w:val="en-GB"/>
        </w:rPr>
        <w:t>. This is done in accordance with the rules and regulations of NASDAQ OMX Iceland hf.</w:t>
      </w:r>
    </w:p>
    <w:p w:rsidR="006944C5" w:rsidRPr="00353FCF" w:rsidRDefault="006944C5" w:rsidP="00BE34A8">
      <w:pPr>
        <w:autoSpaceDE w:val="0"/>
        <w:autoSpaceDN w:val="0"/>
        <w:adjustRightInd w:val="0"/>
        <w:rPr>
          <w:rFonts w:ascii="Verdana" w:hAnsi="Verdana" w:cs="Verdana"/>
          <w:color w:val="000000"/>
          <w:sz w:val="16"/>
          <w:szCs w:val="16"/>
          <w:lang w:val="en-GB"/>
        </w:rPr>
      </w:pPr>
    </w:p>
    <w:p w:rsidR="00BE34A8" w:rsidRPr="00353FCF" w:rsidRDefault="00BE34A8" w:rsidP="006452AA">
      <w:pPr>
        <w:autoSpaceDE w:val="0"/>
        <w:autoSpaceDN w:val="0"/>
        <w:adjustRightInd w:val="0"/>
        <w:jc w:val="both"/>
        <w:rPr>
          <w:rFonts w:ascii="Verdana" w:hAnsi="Verdana" w:cs="Verdana"/>
          <w:sz w:val="16"/>
          <w:szCs w:val="16"/>
          <w:lang w:val="en-GB"/>
        </w:rPr>
      </w:pPr>
    </w:p>
    <w:p w:rsidR="002F6CAB" w:rsidRPr="00353FCF" w:rsidRDefault="002F6CAB" w:rsidP="006452AA">
      <w:pPr>
        <w:autoSpaceDE w:val="0"/>
        <w:autoSpaceDN w:val="0"/>
        <w:adjustRightInd w:val="0"/>
        <w:jc w:val="both"/>
        <w:rPr>
          <w:rFonts w:ascii="Verdana" w:hAnsi="Verdana" w:cs="Verdana"/>
          <w:sz w:val="16"/>
          <w:szCs w:val="16"/>
          <w:lang w:val="en-GB"/>
        </w:rPr>
      </w:pPr>
    </w:p>
    <w:tbl>
      <w:tblPr>
        <w:tblW w:w="6536" w:type="dxa"/>
        <w:tblLayout w:type="fixed"/>
        <w:tblLook w:val="0000"/>
      </w:tblPr>
      <w:tblGrid>
        <w:gridCol w:w="3276"/>
        <w:gridCol w:w="1807"/>
        <w:gridCol w:w="35"/>
        <w:gridCol w:w="1418"/>
      </w:tblGrid>
      <w:tr w:rsidR="002F6CAB" w:rsidRPr="00353FCF" w:rsidTr="004035FC">
        <w:trPr>
          <w:trHeight w:val="360"/>
        </w:trPr>
        <w:tc>
          <w:tcPr>
            <w:tcW w:w="6536" w:type="dxa"/>
            <w:gridSpan w:val="4"/>
            <w:tcBorders>
              <w:top w:val="nil"/>
              <w:left w:val="nil"/>
              <w:bottom w:val="single" w:sz="4" w:space="0" w:color="auto"/>
              <w:right w:val="nil"/>
            </w:tcBorders>
            <w:shd w:val="clear" w:color="auto" w:fill="003366"/>
            <w:noWrap/>
            <w:tcMar>
              <w:top w:w="0" w:type="dxa"/>
              <w:left w:w="15" w:type="dxa"/>
              <w:bottom w:w="0" w:type="dxa"/>
              <w:right w:w="15" w:type="dxa"/>
            </w:tcMar>
            <w:vAlign w:val="bottom"/>
          </w:tcPr>
          <w:p w:rsidR="002F6CAB" w:rsidRPr="00353FCF" w:rsidRDefault="002F6CAB" w:rsidP="002F6CAB">
            <w:pPr>
              <w:rPr>
                <w:rFonts w:ascii="Verdana" w:hAnsi="Verdana"/>
                <w:b/>
                <w:noProof/>
                <w:sz w:val="16"/>
                <w:szCs w:val="16"/>
                <w:lang w:val="en-GB"/>
              </w:rPr>
            </w:pPr>
            <w:r w:rsidRPr="00353FCF">
              <w:rPr>
                <w:rFonts w:ascii="Verdana" w:hAnsi="Verdana"/>
                <w:b/>
                <w:noProof/>
                <w:sz w:val="16"/>
                <w:szCs w:val="16"/>
                <w:lang w:val="en-GB"/>
              </w:rPr>
              <w:t>Operations for 2008, in thous. of euros</w:t>
            </w:r>
          </w:p>
        </w:tc>
      </w:tr>
      <w:tr w:rsidR="002F6CAB" w:rsidRPr="00353FCF" w:rsidTr="004035FC">
        <w:trPr>
          <w:trHeight w:val="300"/>
        </w:trPr>
        <w:tc>
          <w:tcPr>
            <w:tcW w:w="3276" w:type="dxa"/>
            <w:tcBorders>
              <w:top w:val="nil"/>
              <w:left w:val="nil"/>
              <w:bottom w:val="nil"/>
              <w:right w:val="nil"/>
            </w:tcBorders>
            <w:noWrap/>
            <w:tcMar>
              <w:top w:w="0" w:type="dxa"/>
              <w:left w:w="15" w:type="dxa"/>
              <w:bottom w:w="0" w:type="dxa"/>
              <w:right w:w="15" w:type="dxa"/>
            </w:tcMar>
            <w:vAlign w:val="bottom"/>
          </w:tcPr>
          <w:p w:rsidR="002F6CAB" w:rsidRPr="00353FCF" w:rsidRDefault="002F6CAB" w:rsidP="004035FC">
            <w:pPr>
              <w:rPr>
                <w:rFonts w:ascii="Verdana" w:hAnsi="Verdana"/>
                <w:noProof/>
                <w:sz w:val="16"/>
                <w:szCs w:val="16"/>
                <w:lang w:val="en-GB"/>
              </w:rPr>
            </w:pPr>
          </w:p>
        </w:tc>
        <w:tc>
          <w:tcPr>
            <w:tcW w:w="1807" w:type="dxa"/>
            <w:tcBorders>
              <w:top w:val="nil"/>
              <w:left w:val="nil"/>
              <w:bottom w:val="nil"/>
              <w:right w:val="nil"/>
            </w:tcBorders>
            <w:noWrap/>
            <w:tcMar>
              <w:top w:w="0" w:type="dxa"/>
              <w:left w:w="15" w:type="dxa"/>
              <w:bottom w:w="0" w:type="dxa"/>
              <w:right w:w="15" w:type="dxa"/>
            </w:tcMar>
            <w:vAlign w:val="bottom"/>
          </w:tcPr>
          <w:p w:rsidR="002F6CAB" w:rsidRPr="00353FCF" w:rsidRDefault="002F6CAB" w:rsidP="004035FC">
            <w:pPr>
              <w:jc w:val="right"/>
              <w:rPr>
                <w:rFonts w:ascii="Verdana" w:hAnsi="Verdana"/>
                <w:noProof/>
                <w:sz w:val="16"/>
                <w:szCs w:val="16"/>
                <w:lang w:val="en-GB"/>
              </w:rPr>
            </w:pPr>
          </w:p>
        </w:tc>
        <w:tc>
          <w:tcPr>
            <w:tcW w:w="1453" w:type="dxa"/>
            <w:gridSpan w:val="2"/>
            <w:tcBorders>
              <w:top w:val="nil"/>
              <w:left w:val="nil"/>
              <w:bottom w:val="nil"/>
              <w:right w:val="nil"/>
            </w:tcBorders>
            <w:noWrap/>
            <w:tcMar>
              <w:top w:w="0" w:type="dxa"/>
              <w:left w:w="15" w:type="dxa"/>
              <w:bottom w:w="0" w:type="dxa"/>
              <w:right w:w="15" w:type="dxa"/>
            </w:tcMar>
            <w:vAlign w:val="bottom"/>
          </w:tcPr>
          <w:p w:rsidR="002F6CAB" w:rsidRPr="00353FCF" w:rsidRDefault="002F6CAB" w:rsidP="004035FC">
            <w:pPr>
              <w:jc w:val="right"/>
              <w:rPr>
                <w:rFonts w:ascii="Verdana" w:hAnsi="Verdana"/>
                <w:noProof/>
                <w:sz w:val="16"/>
                <w:szCs w:val="16"/>
                <w:lang w:val="en-GB"/>
              </w:rPr>
            </w:pPr>
          </w:p>
        </w:tc>
      </w:tr>
      <w:tr w:rsidR="002F6CAB" w:rsidRPr="00353FCF" w:rsidTr="004035FC">
        <w:trPr>
          <w:trHeight w:val="300"/>
        </w:trPr>
        <w:tc>
          <w:tcPr>
            <w:tcW w:w="3276" w:type="dxa"/>
            <w:tcBorders>
              <w:top w:val="nil"/>
              <w:left w:val="nil"/>
              <w:bottom w:val="nil"/>
              <w:right w:val="nil"/>
            </w:tcBorders>
            <w:shd w:val="clear" w:color="auto" w:fill="C0C0C0"/>
            <w:noWrap/>
            <w:tcMar>
              <w:top w:w="15" w:type="dxa"/>
              <w:left w:w="15" w:type="dxa"/>
              <w:bottom w:w="0" w:type="dxa"/>
              <w:right w:w="15" w:type="dxa"/>
            </w:tcMar>
            <w:vAlign w:val="bottom"/>
          </w:tcPr>
          <w:p w:rsidR="002F6CAB" w:rsidRPr="00353FCF" w:rsidRDefault="002F6CAB" w:rsidP="004035FC">
            <w:pPr>
              <w:rPr>
                <w:rFonts w:ascii="Verdana" w:hAnsi="Verdana"/>
                <w:b/>
                <w:noProof/>
                <w:sz w:val="16"/>
                <w:szCs w:val="16"/>
                <w:lang w:val="en-GB"/>
              </w:rPr>
            </w:pPr>
            <w:r w:rsidRPr="00353FCF">
              <w:rPr>
                <w:rFonts w:ascii="Verdana" w:hAnsi="Verdana"/>
                <w:b/>
                <w:noProof/>
                <w:sz w:val="16"/>
                <w:szCs w:val="16"/>
                <w:lang w:val="en-GB"/>
              </w:rPr>
              <w:t>Operating results</w:t>
            </w:r>
          </w:p>
        </w:tc>
        <w:tc>
          <w:tcPr>
            <w:tcW w:w="1807" w:type="dxa"/>
            <w:tcBorders>
              <w:top w:val="nil"/>
              <w:left w:val="nil"/>
              <w:bottom w:val="nil"/>
              <w:right w:val="nil"/>
            </w:tcBorders>
            <w:shd w:val="clear" w:color="auto" w:fill="C0C0C0"/>
            <w:noWrap/>
            <w:tcMar>
              <w:top w:w="15" w:type="dxa"/>
              <w:left w:w="15" w:type="dxa"/>
              <w:bottom w:w="0" w:type="dxa"/>
              <w:right w:w="15" w:type="dxa"/>
            </w:tcMar>
            <w:vAlign w:val="bottom"/>
          </w:tcPr>
          <w:p w:rsidR="002F6CAB" w:rsidRPr="00353FCF" w:rsidRDefault="002F6CAB" w:rsidP="004035FC">
            <w:pPr>
              <w:jc w:val="right"/>
              <w:rPr>
                <w:rFonts w:ascii="Verdana" w:hAnsi="Verdana"/>
                <w:b/>
                <w:noProof/>
                <w:sz w:val="16"/>
                <w:szCs w:val="16"/>
                <w:lang w:val="en-GB"/>
              </w:rPr>
            </w:pPr>
            <w:r w:rsidRPr="00353FCF">
              <w:rPr>
                <w:rFonts w:ascii="Verdana" w:hAnsi="Verdana"/>
                <w:b/>
                <w:noProof/>
                <w:sz w:val="16"/>
                <w:szCs w:val="16"/>
                <w:lang w:val="en-GB"/>
              </w:rPr>
              <w:t>2008</w:t>
            </w:r>
          </w:p>
        </w:tc>
        <w:tc>
          <w:tcPr>
            <w:tcW w:w="1453" w:type="dxa"/>
            <w:gridSpan w:val="2"/>
            <w:tcBorders>
              <w:top w:val="nil"/>
              <w:left w:val="nil"/>
              <w:bottom w:val="nil"/>
              <w:right w:val="nil"/>
            </w:tcBorders>
            <w:shd w:val="clear" w:color="auto" w:fill="C0C0C0"/>
            <w:noWrap/>
            <w:tcMar>
              <w:top w:w="15" w:type="dxa"/>
              <w:left w:w="15" w:type="dxa"/>
              <w:bottom w:w="0" w:type="dxa"/>
              <w:right w:w="15" w:type="dxa"/>
            </w:tcMar>
            <w:vAlign w:val="bottom"/>
          </w:tcPr>
          <w:p w:rsidR="002F6CAB" w:rsidRPr="00353FCF" w:rsidRDefault="002F6CAB" w:rsidP="004035FC">
            <w:pPr>
              <w:jc w:val="right"/>
              <w:rPr>
                <w:rFonts w:ascii="Verdana" w:hAnsi="Verdana"/>
                <w:b/>
                <w:noProof/>
                <w:sz w:val="16"/>
                <w:szCs w:val="16"/>
                <w:lang w:val="en-GB"/>
              </w:rPr>
            </w:pPr>
            <w:r w:rsidRPr="00353FCF">
              <w:rPr>
                <w:rFonts w:ascii="Verdana" w:hAnsi="Verdana"/>
                <w:b/>
                <w:noProof/>
                <w:sz w:val="16"/>
                <w:szCs w:val="16"/>
                <w:lang w:val="en-GB"/>
              </w:rPr>
              <w:t>2007</w:t>
            </w:r>
          </w:p>
        </w:tc>
      </w:tr>
      <w:tr w:rsidR="00DD0118" w:rsidRPr="00353FCF" w:rsidTr="004035FC">
        <w:trPr>
          <w:trHeight w:val="285"/>
        </w:trPr>
        <w:tc>
          <w:tcPr>
            <w:tcW w:w="3276" w:type="dxa"/>
            <w:tcBorders>
              <w:top w:val="nil"/>
              <w:left w:val="nil"/>
              <w:bottom w:val="nil"/>
              <w:right w:val="nil"/>
            </w:tcBorders>
            <w:noWrap/>
            <w:tcMar>
              <w:top w:w="0" w:type="dxa"/>
              <w:left w:w="15" w:type="dxa"/>
              <w:bottom w:w="0" w:type="dxa"/>
              <w:right w:w="15" w:type="dxa"/>
            </w:tcMar>
            <w:vAlign w:val="bottom"/>
          </w:tcPr>
          <w:p w:rsidR="00DD0118" w:rsidRPr="00353FCF" w:rsidRDefault="00DD0118" w:rsidP="004035FC">
            <w:pPr>
              <w:jc w:val="both"/>
              <w:rPr>
                <w:rFonts w:ascii="Verdana" w:hAnsi="Verdana"/>
                <w:noProof/>
                <w:sz w:val="16"/>
                <w:szCs w:val="16"/>
                <w:lang w:val="en-GB"/>
              </w:rPr>
            </w:pPr>
            <w:r w:rsidRPr="00353FCF">
              <w:rPr>
                <w:rFonts w:ascii="Verdana" w:hAnsi="Verdana"/>
                <w:noProof/>
                <w:sz w:val="16"/>
                <w:szCs w:val="16"/>
                <w:lang w:val="en-GB"/>
              </w:rPr>
              <w:t>Sales</w:t>
            </w:r>
          </w:p>
        </w:tc>
        <w:tc>
          <w:tcPr>
            <w:tcW w:w="1807" w:type="dxa"/>
            <w:tcBorders>
              <w:top w:val="nil"/>
              <w:left w:val="nil"/>
              <w:bottom w:val="nil"/>
              <w:right w:val="nil"/>
            </w:tcBorders>
            <w:noWrap/>
            <w:tcMar>
              <w:top w:w="0" w:type="dxa"/>
              <w:left w:w="15" w:type="dxa"/>
              <w:bottom w:w="0" w:type="dxa"/>
              <w:right w:w="15" w:type="dxa"/>
            </w:tcMar>
            <w:vAlign w:val="bottom"/>
          </w:tcPr>
          <w:p w:rsidR="00DD0118" w:rsidRPr="000F75FE" w:rsidRDefault="00DD0118" w:rsidP="00DD0118">
            <w:pPr>
              <w:jc w:val="right"/>
              <w:rPr>
                <w:rFonts w:ascii="Verdana" w:hAnsi="Verdana"/>
                <w:noProof/>
                <w:sz w:val="16"/>
                <w:szCs w:val="16"/>
              </w:rPr>
            </w:pPr>
            <w:r w:rsidRPr="000F75FE">
              <w:rPr>
                <w:rFonts w:ascii="Verdana" w:hAnsi="Verdana"/>
                <w:noProof/>
                <w:sz w:val="16"/>
                <w:szCs w:val="16"/>
              </w:rPr>
              <w:t>540</w:t>
            </w:r>
            <w:r>
              <w:rPr>
                <w:rFonts w:ascii="Verdana" w:hAnsi="Verdana"/>
                <w:noProof/>
                <w:sz w:val="16"/>
                <w:szCs w:val="16"/>
              </w:rPr>
              <w:t>,</w:t>
            </w:r>
            <w:r w:rsidRPr="000F75FE">
              <w:rPr>
                <w:rFonts w:ascii="Verdana" w:hAnsi="Verdana"/>
                <w:noProof/>
                <w:sz w:val="16"/>
                <w:szCs w:val="16"/>
              </w:rPr>
              <w:t>149</w:t>
            </w:r>
          </w:p>
        </w:tc>
        <w:tc>
          <w:tcPr>
            <w:tcW w:w="1453" w:type="dxa"/>
            <w:gridSpan w:val="2"/>
            <w:tcBorders>
              <w:top w:val="nil"/>
              <w:left w:val="nil"/>
              <w:bottom w:val="nil"/>
              <w:right w:val="nil"/>
            </w:tcBorders>
            <w:noWrap/>
            <w:tcMar>
              <w:top w:w="0" w:type="dxa"/>
              <w:left w:w="15" w:type="dxa"/>
              <w:bottom w:w="0" w:type="dxa"/>
              <w:right w:w="15" w:type="dxa"/>
            </w:tcMar>
            <w:vAlign w:val="bottom"/>
          </w:tcPr>
          <w:p w:rsidR="00DD0118" w:rsidRPr="00A46727" w:rsidRDefault="00DD0118" w:rsidP="00DD0118">
            <w:pPr>
              <w:jc w:val="right"/>
              <w:rPr>
                <w:rFonts w:ascii="Verdana" w:hAnsi="Verdana"/>
                <w:noProof/>
                <w:sz w:val="16"/>
                <w:szCs w:val="16"/>
              </w:rPr>
            </w:pPr>
            <w:r w:rsidRPr="00A46727">
              <w:rPr>
                <w:rFonts w:ascii="Verdana" w:hAnsi="Verdana"/>
                <w:noProof/>
                <w:sz w:val="16"/>
                <w:szCs w:val="16"/>
              </w:rPr>
              <w:t>289</w:t>
            </w:r>
            <w:r>
              <w:rPr>
                <w:rFonts w:ascii="Verdana" w:hAnsi="Verdana"/>
                <w:noProof/>
                <w:sz w:val="16"/>
                <w:szCs w:val="16"/>
              </w:rPr>
              <w:t>,</w:t>
            </w:r>
            <w:r w:rsidRPr="00A46727">
              <w:rPr>
                <w:rFonts w:ascii="Verdana" w:hAnsi="Verdana"/>
                <w:noProof/>
                <w:sz w:val="16"/>
                <w:szCs w:val="16"/>
              </w:rPr>
              <w:t>817</w:t>
            </w:r>
          </w:p>
        </w:tc>
      </w:tr>
      <w:tr w:rsidR="00DD0118" w:rsidRPr="00353FCF" w:rsidTr="004035FC">
        <w:trPr>
          <w:trHeight w:val="255"/>
        </w:trPr>
        <w:tc>
          <w:tcPr>
            <w:tcW w:w="3276" w:type="dxa"/>
            <w:tcBorders>
              <w:top w:val="nil"/>
              <w:left w:val="nil"/>
              <w:bottom w:val="nil"/>
              <w:right w:val="nil"/>
            </w:tcBorders>
            <w:noWrap/>
            <w:tcMar>
              <w:top w:w="0" w:type="dxa"/>
              <w:left w:w="15" w:type="dxa"/>
              <w:bottom w:w="0" w:type="dxa"/>
              <w:right w:w="15" w:type="dxa"/>
            </w:tcMar>
            <w:vAlign w:val="bottom"/>
          </w:tcPr>
          <w:p w:rsidR="00DD0118" w:rsidRPr="00353FCF" w:rsidRDefault="00DD0118" w:rsidP="004035FC">
            <w:pPr>
              <w:jc w:val="both"/>
              <w:rPr>
                <w:rFonts w:ascii="Verdana" w:hAnsi="Verdana"/>
                <w:noProof/>
                <w:sz w:val="16"/>
                <w:szCs w:val="16"/>
                <w:lang w:val="en-GB"/>
              </w:rPr>
            </w:pPr>
            <w:r w:rsidRPr="00353FCF">
              <w:rPr>
                <w:rFonts w:ascii="Verdana" w:hAnsi="Verdana"/>
                <w:noProof/>
                <w:sz w:val="16"/>
                <w:szCs w:val="16"/>
                <w:lang w:val="en-GB"/>
              </w:rPr>
              <w:t>Cost of goods sold</w:t>
            </w:r>
          </w:p>
        </w:tc>
        <w:tc>
          <w:tcPr>
            <w:tcW w:w="1807" w:type="dxa"/>
            <w:tcBorders>
              <w:top w:val="nil"/>
              <w:left w:val="nil"/>
              <w:bottom w:val="nil"/>
              <w:right w:val="nil"/>
            </w:tcBorders>
            <w:noWrap/>
            <w:tcMar>
              <w:top w:w="0" w:type="dxa"/>
              <w:left w:w="15" w:type="dxa"/>
              <w:bottom w:w="0" w:type="dxa"/>
              <w:right w:w="15" w:type="dxa"/>
            </w:tcMar>
            <w:vAlign w:val="bottom"/>
          </w:tcPr>
          <w:p w:rsidR="00DD0118" w:rsidRPr="000F75FE" w:rsidRDefault="00DD0118" w:rsidP="00DD0118">
            <w:pPr>
              <w:jc w:val="right"/>
              <w:rPr>
                <w:rFonts w:ascii="Verdana" w:hAnsi="Verdana"/>
                <w:noProof/>
                <w:sz w:val="16"/>
                <w:szCs w:val="16"/>
              </w:rPr>
            </w:pPr>
            <w:r w:rsidRPr="000F75FE">
              <w:rPr>
                <w:rFonts w:ascii="Verdana" w:hAnsi="Verdana"/>
                <w:noProof/>
                <w:sz w:val="16"/>
                <w:szCs w:val="16"/>
              </w:rPr>
              <w:t>(361</w:t>
            </w:r>
            <w:r>
              <w:rPr>
                <w:rFonts w:ascii="Verdana" w:hAnsi="Verdana"/>
                <w:noProof/>
                <w:sz w:val="16"/>
                <w:szCs w:val="16"/>
              </w:rPr>
              <w:t>,</w:t>
            </w:r>
            <w:r w:rsidRPr="000F75FE">
              <w:rPr>
                <w:rFonts w:ascii="Verdana" w:hAnsi="Verdana"/>
                <w:noProof/>
                <w:sz w:val="16"/>
                <w:szCs w:val="16"/>
              </w:rPr>
              <w:t>218)</w:t>
            </w:r>
          </w:p>
        </w:tc>
        <w:tc>
          <w:tcPr>
            <w:tcW w:w="1453" w:type="dxa"/>
            <w:gridSpan w:val="2"/>
            <w:tcBorders>
              <w:top w:val="nil"/>
              <w:left w:val="nil"/>
              <w:bottom w:val="nil"/>
              <w:right w:val="nil"/>
            </w:tcBorders>
            <w:noWrap/>
            <w:tcMar>
              <w:top w:w="0" w:type="dxa"/>
              <w:left w:w="15" w:type="dxa"/>
              <w:bottom w:w="0" w:type="dxa"/>
              <w:right w:w="15" w:type="dxa"/>
            </w:tcMar>
            <w:vAlign w:val="bottom"/>
          </w:tcPr>
          <w:p w:rsidR="00DD0118" w:rsidRPr="00A46727" w:rsidRDefault="00DD0118" w:rsidP="00DD0118">
            <w:pPr>
              <w:jc w:val="right"/>
              <w:rPr>
                <w:rFonts w:ascii="Verdana" w:hAnsi="Verdana"/>
                <w:noProof/>
                <w:sz w:val="16"/>
                <w:szCs w:val="16"/>
              </w:rPr>
            </w:pPr>
            <w:r w:rsidRPr="00A46727">
              <w:rPr>
                <w:rFonts w:ascii="Verdana" w:hAnsi="Verdana"/>
                <w:noProof/>
                <w:sz w:val="16"/>
                <w:szCs w:val="16"/>
              </w:rPr>
              <w:t>(192</w:t>
            </w:r>
            <w:r>
              <w:rPr>
                <w:rFonts w:ascii="Verdana" w:hAnsi="Verdana"/>
                <w:noProof/>
                <w:sz w:val="16"/>
                <w:szCs w:val="16"/>
              </w:rPr>
              <w:t>,</w:t>
            </w:r>
            <w:r w:rsidRPr="00A46727">
              <w:rPr>
                <w:rFonts w:ascii="Verdana" w:hAnsi="Verdana"/>
                <w:noProof/>
                <w:sz w:val="16"/>
                <w:szCs w:val="16"/>
              </w:rPr>
              <w:t>581)</w:t>
            </w:r>
          </w:p>
        </w:tc>
      </w:tr>
      <w:tr w:rsidR="00DD0118" w:rsidRPr="00353FCF" w:rsidTr="004035FC">
        <w:trPr>
          <w:trHeight w:val="255"/>
        </w:trPr>
        <w:tc>
          <w:tcPr>
            <w:tcW w:w="3276" w:type="dxa"/>
            <w:tcBorders>
              <w:top w:val="nil"/>
              <w:left w:val="nil"/>
              <w:bottom w:val="nil"/>
              <w:right w:val="nil"/>
            </w:tcBorders>
            <w:noWrap/>
            <w:tcMar>
              <w:top w:w="0" w:type="dxa"/>
              <w:left w:w="15" w:type="dxa"/>
              <w:bottom w:w="0" w:type="dxa"/>
              <w:right w:w="15" w:type="dxa"/>
            </w:tcMar>
            <w:vAlign w:val="bottom"/>
          </w:tcPr>
          <w:p w:rsidR="00DD0118" w:rsidRPr="00353FCF" w:rsidRDefault="00DD0118" w:rsidP="004035FC">
            <w:pPr>
              <w:jc w:val="both"/>
              <w:rPr>
                <w:rFonts w:ascii="Verdana" w:hAnsi="Verdana"/>
                <w:noProof/>
                <w:sz w:val="16"/>
                <w:szCs w:val="16"/>
                <w:lang w:val="en-GB"/>
              </w:rPr>
            </w:pPr>
            <w:r w:rsidRPr="00353FCF">
              <w:rPr>
                <w:rFonts w:ascii="Verdana" w:hAnsi="Verdana"/>
                <w:noProof/>
                <w:sz w:val="16"/>
                <w:szCs w:val="16"/>
                <w:lang w:val="en-GB"/>
              </w:rPr>
              <w:t>Gross profit</w:t>
            </w:r>
          </w:p>
        </w:tc>
        <w:tc>
          <w:tcPr>
            <w:tcW w:w="1807" w:type="dxa"/>
            <w:tcBorders>
              <w:top w:val="nil"/>
              <w:left w:val="nil"/>
              <w:bottom w:val="nil"/>
              <w:right w:val="nil"/>
            </w:tcBorders>
            <w:noWrap/>
            <w:tcMar>
              <w:top w:w="0" w:type="dxa"/>
              <w:left w:w="15" w:type="dxa"/>
              <w:bottom w:w="0" w:type="dxa"/>
              <w:right w:w="15" w:type="dxa"/>
            </w:tcMar>
            <w:vAlign w:val="bottom"/>
          </w:tcPr>
          <w:p w:rsidR="00DD0118" w:rsidRPr="000F75FE" w:rsidRDefault="00DD0118" w:rsidP="00DD0118">
            <w:pPr>
              <w:jc w:val="right"/>
              <w:rPr>
                <w:rFonts w:ascii="Verdana" w:hAnsi="Verdana"/>
                <w:noProof/>
                <w:sz w:val="16"/>
                <w:szCs w:val="16"/>
              </w:rPr>
            </w:pPr>
            <w:r w:rsidRPr="000F75FE">
              <w:rPr>
                <w:rFonts w:ascii="Verdana" w:hAnsi="Verdana"/>
                <w:noProof/>
                <w:sz w:val="16"/>
                <w:szCs w:val="16"/>
              </w:rPr>
              <w:t>178</w:t>
            </w:r>
            <w:r>
              <w:rPr>
                <w:rFonts w:ascii="Verdana" w:hAnsi="Verdana"/>
                <w:noProof/>
                <w:sz w:val="16"/>
                <w:szCs w:val="16"/>
              </w:rPr>
              <w:t>,</w:t>
            </w:r>
            <w:r w:rsidRPr="000F75FE">
              <w:rPr>
                <w:rFonts w:ascii="Verdana" w:hAnsi="Verdana"/>
                <w:noProof/>
                <w:sz w:val="16"/>
                <w:szCs w:val="16"/>
              </w:rPr>
              <w:t>931</w:t>
            </w:r>
          </w:p>
        </w:tc>
        <w:tc>
          <w:tcPr>
            <w:tcW w:w="1453" w:type="dxa"/>
            <w:gridSpan w:val="2"/>
            <w:tcBorders>
              <w:top w:val="nil"/>
              <w:left w:val="nil"/>
              <w:bottom w:val="nil"/>
              <w:right w:val="nil"/>
            </w:tcBorders>
            <w:noWrap/>
            <w:tcMar>
              <w:top w:w="0" w:type="dxa"/>
              <w:left w:w="15" w:type="dxa"/>
              <w:bottom w:w="0" w:type="dxa"/>
              <w:right w:w="15" w:type="dxa"/>
            </w:tcMar>
            <w:vAlign w:val="bottom"/>
          </w:tcPr>
          <w:p w:rsidR="00DD0118" w:rsidRPr="00A46727" w:rsidRDefault="00DD0118" w:rsidP="00DD0118">
            <w:pPr>
              <w:jc w:val="right"/>
              <w:rPr>
                <w:rFonts w:ascii="Verdana" w:hAnsi="Verdana"/>
                <w:noProof/>
                <w:sz w:val="16"/>
                <w:szCs w:val="16"/>
              </w:rPr>
            </w:pPr>
            <w:r w:rsidRPr="00A46727">
              <w:rPr>
                <w:rFonts w:ascii="Verdana" w:hAnsi="Verdana"/>
                <w:noProof/>
                <w:sz w:val="16"/>
                <w:szCs w:val="16"/>
              </w:rPr>
              <w:t>97</w:t>
            </w:r>
            <w:r>
              <w:rPr>
                <w:rFonts w:ascii="Verdana" w:hAnsi="Verdana"/>
                <w:noProof/>
                <w:sz w:val="16"/>
                <w:szCs w:val="16"/>
              </w:rPr>
              <w:t>,</w:t>
            </w:r>
            <w:r w:rsidRPr="00A46727">
              <w:rPr>
                <w:rFonts w:ascii="Verdana" w:hAnsi="Verdana"/>
                <w:noProof/>
                <w:sz w:val="16"/>
                <w:szCs w:val="16"/>
              </w:rPr>
              <w:t>236</w:t>
            </w:r>
          </w:p>
        </w:tc>
      </w:tr>
      <w:tr w:rsidR="00DD0118" w:rsidRPr="00353FCF" w:rsidTr="004035FC">
        <w:trPr>
          <w:trHeight w:val="285"/>
        </w:trPr>
        <w:tc>
          <w:tcPr>
            <w:tcW w:w="3276" w:type="dxa"/>
            <w:tcBorders>
              <w:top w:val="nil"/>
              <w:left w:val="nil"/>
              <w:bottom w:val="nil"/>
              <w:right w:val="nil"/>
            </w:tcBorders>
            <w:noWrap/>
            <w:tcMar>
              <w:top w:w="0" w:type="dxa"/>
              <w:left w:w="15" w:type="dxa"/>
              <w:bottom w:w="0" w:type="dxa"/>
              <w:right w:w="15" w:type="dxa"/>
            </w:tcMar>
            <w:vAlign w:val="bottom"/>
          </w:tcPr>
          <w:p w:rsidR="00DD0118" w:rsidRPr="00353FCF" w:rsidRDefault="00DD0118" w:rsidP="004035FC">
            <w:pPr>
              <w:jc w:val="both"/>
              <w:rPr>
                <w:rFonts w:ascii="Verdana" w:hAnsi="Verdana"/>
                <w:noProof/>
                <w:sz w:val="16"/>
                <w:szCs w:val="16"/>
                <w:lang w:val="en-GB"/>
              </w:rPr>
            </w:pPr>
          </w:p>
        </w:tc>
        <w:tc>
          <w:tcPr>
            <w:tcW w:w="1807" w:type="dxa"/>
            <w:tcBorders>
              <w:top w:val="nil"/>
              <w:left w:val="nil"/>
              <w:bottom w:val="nil"/>
              <w:right w:val="nil"/>
            </w:tcBorders>
            <w:noWrap/>
            <w:tcMar>
              <w:top w:w="0" w:type="dxa"/>
              <w:left w:w="15" w:type="dxa"/>
              <w:bottom w:w="0" w:type="dxa"/>
              <w:right w:w="15" w:type="dxa"/>
            </w:tcMar>
            <w:vAlign w:val="bottom"/>
          </w:tcPr>
          <w:p w:rsidR="00DD0118" w:rsidRPr="000F75FE" w:rsidRDefault="00DD0118" w:rsidP="00DD0118">
            <w:pPr>
              <w:jc w:val="right"/>
              <w:rPr>
                <w:rFonts w:ascii="Verdana" w:hAnsi="Verdana"/>
                <w:noProof/>
                <w:sz w:val="16"/>
                <w:szCs w:val="16"/>
              </w:rPr>
            </w:pPr>
          </w:p>
        </w:tc>
        <w:tc>
          <w:tcPr>
            <w:tcW w:w="1453" w:type="dxa"/>
            <w:gridSpan w:val="2"/>
            <w:tcBorders>
              <w:top w:val="nil"/>
              <w:left w:val="nil"/>
              <w:bottom w:val="nil"/>
              <w:right w:val="nil"/>
            </w:tcBorders>
            <w:noWrap/>
            <w:tcMar>
              <w:top w:w="0" w:type="dxa"/>
              <w:left w:w="15" w:type="dxa"/>
              <w:bottom w:w="0" w:type="dxa"/>
              <w:right w:w="15" w:type="dxa"/>
            </w:tcMar>
            <w:vAlign w:val="bottom"/>
          </w:tcPr>
          <w:p w:rsidR="00DD0118" w:rsidRPr="00A46727" w:rsidRDefault="00DD0118" w:rsidP="00DD0118">
            <w:pPr>
              <w:jc w:val="right"/>
              <w:rPr>
                <w:rFonts w:ascii="Verdana" w:hAnsi="Verdana"/>
                <w:noProof/>
                <w:sz w:val="16"/>
                <w:szCs w:val="16"/>
              </w:rPr>
            </w:pPr>
          </w:p>
        </w:tc>
      </w:tr>
      <w:tr w:rsidR="00DD0118" w:rsidRPr="00353FCF" w:rsidTr="004035FC">
        <w:trPr>
          <w:trHeight w:val="285"/>
        </w:trPr>
        <w:tc>
          <w:tcPr>
            <w:tcW w:w="3276" w:type="dxa"/>
            <w:tcBorders>
              <w:top w:val="nil"/>
              <w:left w:val="nil"/>
              <w:bottom w:val="nil"/>
              <w:right w:val="nil"/>
            </w:tcBorders>
            <w:noWrap/>
            <w:tcMar>
              <w:top w:w="0" w:type="dxa"/>
              <w:left w:w="15" w:type="dxa"/>
              <w:bottom w:w="0" w:type="dxa"/>
              <w:right w:w="15" w:type="dxa"/>
            </w:tcMar>
            <w:vAlign w:val="bottom"/>
          </w:tcPr>
          <w:p w:rsidR="00DD0118" w:rsidRPr="00353FCF" w:rsidRDefault="00DD0118" w:rsidP="004035FC">
            <w:pPr>
              <w:jc w:val="both"/>
              <w:rPr>
                <w:rFonts w:ascii="Verdana" w:hAnsi="Verdana"/>
                <w:noProof/>
                <w:sz w:val="16"/>
                <w:szCs w:val="16"/>
                <w:lang w:val="en-GB"/>
              </w:rPr>
            </w:pPr>
            <w:r w:rsidRPr="00353FCF">
              <w:rPr>
                <w:rFonts w:ascii="Verdana" w:hAnsi="Verdana"/>
                <w:noProof/>
                <w:sz w:val="16"/>
                <w:szCs w:val="16"/>
                <w:lang w:val="en-GB"/>
              </w:rPr>
              <w:t>Other operating income</w:t>
            </w:r>
          </w:p>
        </w:tc>
        <w:tc>
          <w:tcPr>
            <w:tcW w:w="1807" w:type="dxa"/>
            <w:tcBorders>
              <w:top w:val="nil"/>
              <w:left w:val="nil"/>
              <w:bottom w:val="nil"/>
              <w:right w:val="nil"/>
            </w:tcBorders>
            <w:noWrap/>
            <w:tcMar>
              <w:top w:w="0" w:type="dxa"/>
              <w:left w:w="15" w:type="dxa"/>
              <w:bottom w:w="0" w:type="dxa"/>
              <w:right w:w="15" w:type="dxa"/>
            </w:tcMar>
            <w:vAlign w:val="bottom"/>
          </w:tcPr>
          <w:p w:rsidR="00DD0118" w:rsidRPr="000F75FE" w:rsidRDefault="00DD0118" w:rsidP="00DD0118">
            <w:pPr>
              <w:jc w:val="right"/>
              <w:rPr>
                <w:rFonts w:ascii="Verdana" w:hAnsi="Verdana"/>
                <w:noProof/>
                <w:sz w:val="16"/>
                <w:szCs w:val="16"/>
              </w:rPr>
            </w:pPr>
            <w:r w:rsidRPr="000F75FE">
              <w:rPr>
                <w:rFonts w:ascii="Verdana" w:hAnsi="Verdana"/>
                <w:noProof/>
                <w:sz w:val="16"/>
                <w:szCs w:val="16"/>
              </w:rPr>
              <w:t>716</w:t>
            </w:r>
          </w:p>
        </w:tc>
        <w:tc>
          <w:tcPr>
            <w:tcW w:w="1453" w:type="dxa"/>
            <w:gridSpan w:val="2"/>
            <w:tcBorders>
              <w:top w:val="nil"/>
              <w:left w:val="nil"/>
              <w:bottom w:val="nil"/>
              <w:right w:val="nil"/>
            </w:tcBorders>
            <w:noWrap/>
            <w:tcMar>
              <w:top w:w="0" w:type="dxa"/>
              <w:left w:w="15" w:type="dxa"/>
              <w:bottom w:w="0" w:type="dxa"/>
              <w:right w:w="15" w:type="dxa"/>
            </w:tcMar>
            <w:vAlign w:val="bottom"/>
          </w:tcPr>
          <w:p w:rsidR="00DD0118" w:rsidRPr="00A46727" w:rsidRDefault="00DD0118" w:rsidP="00DD0118">
            <w:pPr>
              <w:jc w:val="right"/>
              <w:rPr>
                <w:rFonts w:ascii="Verdana" w:hAnsi="Verdana"/>
                <w:noProof/>
                <w:sz w:val="16"/>
                <w:szCs w:val="16"/>
              </w:rPr>
            </w:pPr>
            <w:r w:rsidRPr="00A46727">
              <w:rPr>
                <w:rFonts w:ascii="Verdana" w:hAnsi="Verdana"/>
                <w:noProof/>
                <w:sz w:val="16"/>
                <w:szCs w:val="16"/>
              </w:rPr>
              <w:t>1</w:t>
            </w:r>
            <w:r>
              <w:rPr>
                <w:rFonts w:ascii="Verdana" w:hAnsi="Verdana"/>
                <w:noProof/>
                <w:sz w:val="16"/>
                <w:szCs w:val="16"/>
              </w:rPr>
              <w:t>,</w:t>
            </w:r>
            <w:r w:rsidRPr="00A46727">
              <w:rPr>
                <w:rFonts w:ascii="Verdana" w:hAnsi="Verdana"/>
                <w:noProof/>
                <w:sz w:val="16"/>
                <w:szCs w:val="16"/>
              </w:rPr>
              <w:t>203</w:t>
            </w:r>
          </w:p>
        </w:tc>
      </w:tr>
      <w:tr w:rsidR="00DD0118" w:rsidRPr="00353FCF" w:rsidTr="004035FC">
        <w:trPr>
          <w:trHeight w:val="285"/>
        </w:trPr>
        <w:tc>
          <w:tcPr>
            <w:tcW w:w="3276" w:type="dxa"/>
            <w:tcBorders>
              <w:top w:val="nil"/>
              <w:left w:val="nil"/>
              <w:bottom w:val="nil"/>
              <w:right w:val="nil"/>
            </w:tcBorders>
            <w:noWrap/>
            <w:tcMar>
              <w:top w:w="0" w:type="dxa"/>
              <w:left w:w="15" w:type="dxa"/>
              <w:bottom w:w="0" w:type="dxa"/>
              <w:right w:w="15" w:type="dxa"/>
            </w:tcMar>
            <w:vAlign w:val="bottom"/>
          </w:tcPr>
          <w:p w:rsidR="00DD0118" w:rsidRPr="00353FCF" w:rsidRDefault="00DD0118" w:rsidP="004035FC">
            <w:pPr>
              <w:jc w:val="both"/>
              <w:rPr>
                <w:rFonts w:ascii="Verdana" w:hAnsi="Verdana"/>
                <w:noProof/>
                <w:sz w:val="16"/>
                <w:szCs w:val="16"/>
                <w:lang w:val="en-GB"/>
              </w:rPr>
            </w:pPr>
            <w:r w:rsidRPr="00353FCF">
              <w:rPr>
                <w:rFonts w:ascii="Verdana" w:hAnsi="Verdana"/>
                <w:noProof/>
                <w:sz w:val="16"/>
                <w:szCs w:val="16"/>
                <w:lang w:val="en-GB"/>
              </w:rPr>
              <w:t>Sales &amp; marketing expenses</w:t>
            </w:r>
          </w:p>
        </w:tc>
        <w:tc>
          <w:tcPr>
            <w:tcW w:w="1807" w:type="dxa"/>
            <w:tcBorders>
              <w:top w:val="nil"/>
              <w:left w:val="nil"/>
              <w:bottom w:val="nil"/>
              <w:right w:val="nil"/>
            </w:tcBorders>
            <w:noWrap/>
            <w:tcMar>
              <w:top w:w="0" w:type="dxa"/>
              <w:left w:w="15" w:type="dxa"/>
              <w:bottom w:w="0" w:type="dxa"/>
              <w:right w:w="15" w:type="dxa"/>
            </w:tcMar>
            <w:vAlign w:val="bottom"/>
          </w:tcPr>
          <w:p w:rsidR="00DD0118" w:rsidRPr="000F75FE" w:rsidRDefault="00DD0118" w:rsidP="00DD0118">
            <w:pPr>
              <w:jc w:val="right"/>
              <w:rPr>
                <w:rFonts w:ascii="Verdana" w:hAnsi="Verdana"/>
                <w:noProof/>
                <w:sz w:val="16"/>
                <w:szCs w:val="16"/>
              </w:rPr>
            </w:pPr>
            <w:r w:rsidRPr="000F75FE">
              <w:rPr>
                <w:rFonts w:ascii="Verdana" w:hAnsi="Verdana"/>
                <w:noProof/>
                <w:sz w:val="16"/>
                <w:szCs w:val="16"/>
              </w:rPr>
              <w:t>(71</w:t>
            </w:r>
            <w:r>
              <w:rPr>
                <w:rFonts w:ascii="Verdana" w:hAnsi="Verdana"/>
                <w:noProof/>
                <w:sz w:val="16"/>
                <w:szCs w:val="16"/>
              </w:rPr>
              <w:t>,</w:t>
            </w:r>
            <w:r w:rsidRPr="000F75FE">
              <w:rPr>
                <w:rFonts w:ascii="Verdana" w:hAnsi="Verdana"/>
                <w:noProof/>
                <w:sz w:val="16"/>
                <w:szCs w:val="16"/>
              </w:rPr>
              <w:t>838)</w:t>
            </w:r>
          </w:p>
        </w:tc>
        <w:tc>
          <w:tcPr>
            <w:tcW w:w="1453" w:type="dxa"/>
            <w:gridSpan w:val="2"/>
            <w:tcBorders>
              <w:top w:val="nil"/>
              <w:left w:val="nil"/>
              <w:bottom w:val="nil"/>
              <w:right w:val="nil"/>
            </w:tcBorders>
            <w:noWrap/>
            <w:tcMar>
              <w:top w:w="0" w:type="dxa"/>
              <w:left w:w="15" w:type="dxa"/>
              <w:bottom w:w="0" w:type="dxa"/>
              <w:right w:w="15" w:type="dxa"/>
            </w:tcMar>
            <w:vAlign w:val="bottom"/>
          </w:tcPr>
          <w:p w:rsidR="00DD0118" w:rsidRPr="00A46727" w:rsidRDefault="00DD0118" w:rsidP="00DD0118">
            <w:pPr>
              <w:jc w:val="right"/>
              <w:rPr>
                <w:rFonts w:ascii="Verdana" w:hAnsi="Verdana"/>
                <w:noProof/>
                <w:sz w:val="16"/>
                <w:szCs w:val="16"/>
              </w:rPr>
            </w:pPr>
            <w:r w:rsidRPr="00A46727">
              <w:rPr>
                <w:rFonts w:ascii="Verdana" w:hAnsi="Verdana"/>
                <w:noProof/>
                <w:sz w:val="16"/>
                <w:szCs w:val="16"/>
              </w:rPr>
              <w:t>(44</w:t>
            </w:r>
            <w:r>
              <w:rPr>
                <w:rFonts w:ascii="Verdana" w:hAnsi="Verdana"/>
                <w:noProof/>
                <w:sz w:val="16"/>
                <w:szCs w:val="16"/>
              </w:rPr>
              <w:t>,</w:t>
            </w:r>
            <w:r w:rsidRPr="00A46727">
              <w:rPr>
                <w:rFonts w:ascii="Verdana" w:hAnsi="Verdana"/>
                <w:noProof/>
                <w:sz w:val="16"/>
                <w:szCs w:val="16"/>
              </w:rPr>
              <w:t>829)</w:t>
            </w:r>
          </w:p>
        </w:tc>
      </w:tr>
      <w:tr w:rsidR="00DD0118" w:rsidRPr="00353FCF" w:rsidTr="004035FC">
        <w:trPr>
          <w:trHeight w:val="285"/>
        </w:trPr>
        <w:tc>
          <w:tcPr>
            <w:tcW w:w="3276" w:type="dxa"/>
            <w:tcBorders>
              <w:top w:val="nil"/>
              <w:left w:val="nil"/>
              <w:bottom w:val="nil"/>
              <w:right w:val="nil"/>
            </w:tcBorders>
            <w:noWrap/>
            <w:tcMar>
              <w:top w:w="0" w:type="dxa"/>
              <w:left w:w="15" w:type="dxa"/>
              <w:bottom w:w="0" w:type="dxa"/>
              <w:right w:w="15" w:type="dxa"/>
            </w:tcMar>
            <w:vAlign w:val="bottom"/>
          </w:tcPr>
          <w:p w:rsidR="00DD0118" w:rsidRPr="00353FCF" w:rsidRDefault="00DD0118" w:rsidP="004035FC">
            <w:pPr>
              <w:jc w:val="both"/>
              <w:rPr>
                <w:rFonts w:ascii="Verdana" w:hAnsi="Verdana"/>
                <w:noProof/>
                <w:sz w:val="16"/>
                <w:szCs w:val="16"/>
                <w:lang w:val="en-GB"/>
              </w:rPr>
            </w:pPr>
            <w:r w:rsidRPr="00353FCF">
              <w:rPr>
                <w:rFonts w:ascii="Verdana" w:hAnsi="Verdana"/>
                <w:noProof/>
                <w:sz w:val="16"/>
                <w:szCs w:val="16"/>
                <w:lang w:val="en-GB"/>
              </w:rPr>
              <w:t>Development expenses</w:t>
            </w:r>
          </w:p>
        </w:tc>
        <w:tc>
          <w:tcPr>
            <w:tcW w:w="1807" w:type="dxa"/>
            <w:tcBorders>
              <w:top w:val="nil"/>
              <w:left w:val="nil"/>
              <w:bottom w:val="nil"/>
              <w:right w:val="nil"/>
            </w:tcBorders>
            <w:noWrap/>
            <w:tcMar>
              <w:top w:w="0" w:type="dxa"/>
              <w:left w:w="15" w:type="dxa"/>
              <w:bottom w:w="0" w:type="dxa"/>
              <w:right w:w="15" w:type="dxa"/>
            </w:tcMar>
            <w:vAlign w:val="bottom"/>
          </w:tcPr>
          <w:p w:rsidR="00DD0118" w:rsidRPr="000F75FE" w:rsidRDefault="00DD0118" w:rsidP="00DD0118">
            <w:pPr>
              <w:jc w:val="right"/>
              <w:rPr>
                <w:rFonts w:ascii="Verdana" w:hAnsi="Verdana"/>
                <w:noProof/>
                <w:sz w:val="16"/>
                <w:szCs w:val="16"/>
              </w:rPr>
            </w:pPr>
            <w:r w:rsidRPr="000F75FE">
              <w:rPr>
                <w:rFonts w:ascii="Verdana" w:hAnsi="Verdana"/>
                <w:noProof/>
                <w:sz w:val="16"/>
                <w:szCs w:val="16"/>
              </w:rPr>
              <w:t>(27</w:t>
            </w:r>
            <w:r>
              <w:rPr>
                <w:rFonts w:ascii="Verdana" w:hAnsi="Verdana"/>
                <w:noProof/>
                <w:sz w:val="16"/>
                <w:szCs w:val="16"/>
              </w:rPr>
              <w:t>,</w:t>
            </w:r>
            <w:r w:rsidRPr="000F75FE">
              <w:rPr>
                <w:rFonts w:ascii="Verdana" w:hAnsi="Verdana"/>
                <w:noProof/>
                <w:sz w:val="16"/>
                <w:szCs w:val="16"/>
              </w:rPr>
              <w:t>337)</w:t>
            </w:r>
          </w:p>
        </w:tc>
        <w:tc>
          <w:tcPr>
            <w:tcW w:w="1453" w:type="dxa"/>
            <w:gridSpan w:val="2"/>
            <w:tcBorders>
              <w:top w:val="nil"/>
              <w:left w:val="nil"/>
              <w:bottom w:val="nil"/>
              <w:right w:val="nil"/>
            </w:tcBorders>
            <w:noWrap/>
            <w:tcMar>
              <w:top w:w="0" w:type="dxa"/>
              <w:left w:w="15" w:type="dxa"/>
              <w:bottom w:w="0" w:type="dxa"/>
              <w:right w:w="15" w:type="dxa"/>
            </w:tcMar>
            <w:vAlign w:val="bottom"/>
          </w:tcPr>
          <w:p w:rsidR="00DD0118" w:rsidRPr="00A46727" w:rsidRDefault="00DD0118" w:rsidP="00DD0118">
            <w:pPr>
              <w:jc w:val="right"/>
              <w:rPr>
                <w:rFonts w:ascii="Verdana" w:hAnsi="Verdana"/>
                <w:noProof/>
                <w:sz w:val="16"/>
                <w:szCs w:val="16"/>
              </w:rPr>
            </w:pPr>
            <w:r w:rsidRPr="00A46727">
              <w:rPr>
                <w:rFonts w:ascii="Verdana" w:hAnsi="Verdana"/>
                <w:noProof/>
                <w:sz w:val="16"/>
                <w:szCs w:val="16"/>
              </w:rPr>
              <w:t>(14</w:t>
            </w:r>
            <w:r>
              <w:rPr>
                <w:rFonts w:ascii="Verdana" w:hAnsi="Verdana"/>
                <w:noProof/>
                <w:sz w:val="16"/>
                <w:szCs w:val="16"/>
              </w:rPr>
              <w:t>,</w:t>
            </w:r>
            <w:r w:rsidRPr="00A46727">
              <w:rPr>
                <w:rFonts w:ascii="Verdana" w:hAnsi="Verdana"/>
                <w:noProof/>
                <w:sz w:val="16"/>
                <w:szCs w:val="16"/>
              </w:rPr>
              <w:t>631)</w:t>
            </w:r>
          </w:p>
        </w:tc>
      </w:tr>
      <w:tr w:rsidR="00DD0118" w:rsidRPr="00353FCF" w:rsidTr="004035FC">
        <w:trPr>
          <w:trHeight w:val="285"/>
        </w:trPr>
        <w:tc>
          <w:tcPr>
            <w:tcW w:w="3276" w:type="dxa"/>
            <w:tcBorders>
              <w:top w:val="nil"/>
              <w:left w:val="nil"/>
              <w:bottom w:val="nil"/>
              <w:right w:val="nil"/>
            </w:tcBorders>
            <w:noWrap/>
            <w:tcMar>
              <w:top w:w="0" w:type="dxa"/>
              <w:left w:w="15" w:type="dxa"/>
              <w:bottom w:w="0" w:type="dxa"/>
              <w:right w:w="15" w:type="dxa"/>
            </w:tcMar>
            <w:vAlign w:val="bottom"/>
          </w:tcPr>
          <w:p w:rsidR="00DD0118" w:rsidRPr="00353FCF" w:rsidRDefault="00DD0118" w:rsidP="004035FC">
            <w:pPr>
              <w:jc w:val="both"/>
              <w:rPr>
                <w:rFonts w:ascii="Verdana" w:hAnsi="Verdana"/>
                <w:noProof/>
                <w:sz w:val="16"/>
                <w:szCs w:val="16"/>
                <w:lang w:val="en-GB"/>
              </w:rPr>
            </w:pPr>
            <w:r w:rsidRPr="00353FCF">
              <w:rPr>
                <w:rFonts w:ascii="Verdana" w:hAnsi="Verdana"/>
                <w:noProof/>
                <w:sz w:val="16"/>
                <w:szCs w:val="16"/>
                <w:lang w:val="en-GB"/>
              </w:rPr>
              <w:t>Administrative expenses</w:t>
            </w:r>
          </w:p>
        </w:tc>
        <w:tc>
          <w:tcPr>
            <w:tcW w:w="1807" w:type="dxa"/>
            <w:tcBorders>
              <w:top w:val="nil"/>
              <w:left w:val="nil"/>
              <w:bottom w:val="nil"/>
              <w:right w:val="nil"/>
            </w:tcBorders>
            <w:noWrap/>
            <w:tcMar>
              <w:top w:w="0" w:type="dxa"/>
              <w:left w:w="15" w:type="dxa"/>
              <w:bottom w:w="0" w:type="dxa"/>
              <w:right w:w="15" w:type="dxa"/>
            </w:tcMar>
            <w:vAlign w:val="bottom"/>
          </w:tcPr>
          <w:p w:rsidR="00DD0118" w:rsidRPr="000F75FE" w:rsidRDefault="00DD0118" w:rsidP="00DD0118">
            <w:pPr>
              <w:jc w:val="right"/>
              <w:rPr>
                <w:rFonts w:ascii="Verdana" w:hAnsi="Verdana"/>
                <w:noProof/>
                <w:sz w:val="16"/>
                <w:szCs w:val="16"/>
              </w:rPr>
            </w:pPr>
            <w:r w:rsidRPr="000F75FE">
              <w:rPr>
                <w:rFonts w:ascii="Verdana" w:hAnsi="Verdana"/>
                <w:noProof/>
                <w:sz w:val="16"/>
                <w:szCs w:val="16"/>
              </w:rPr>
              <w:t>(60</w:t>
            </w:r>
            <w:r>
              <w:rPr>
                <w:rFonts w:ascii="Verdana" w:hAnsi="Verdana"/>
                <w:noProof/>
                <w:sz w:val="16"/>
                <w:szCs w:val="16"/>
              </w:rPr>
              <w:t>,</w:t>
            </w:r>
            <w:r w:rsidRPr="000F75FE">
              <w:rPr>
                <w:rFonts w:ascii="Verdana" w:hAnsi="Verdana"/>
                <w:noProof/>
                <w:sz w:val="16"/>
                <w:szCs w:val="16"/>
              </w:rPr>
              <w:t>038)</w:t>
            </w:r>
          </w:p>
        </w:tc>
        <w:tc>
          <w:tcPr>
            <w:tcW w:w="1453" w:type="dxa"/>
            <w:gridSpan w:val="2"/>
            <w:tcBorders>
              <w:top w:val="nil"/>
              <w:left w:val="nil"/>
              <w:bottom w:val="nil"/>
              <w:right w:val="nil"/>
            </w:tcBorders>
            <w:noWrap/>
            <w:tcMar>
              <w:top w:w="0" w:type="dxa"/>
              <w:left w:w="15" w:type="dxa"/>
              <w:bottom w:w="0" w:type="dxa"/>
              <w:right w:w="15" w:type="dxa"/>
            </w:tcMar>
            <w:vAlign w:val="bottom"/>
          </w:tcPr>
          <w:p w:rsidR="00DD0118" w:rsidRPr="00A46727" w:rsidRDefault="00DD0118" w:rsidP="00DD0118">
            <w:pPr>
              <w:jc w:val="right"/>
              <w:rPr>
                <w:rFonts w:ascii="Verdana" w:hAnsi="Verdana"/>
                <w:noProof/>
                <w:sz w:val="16"/>
                <w:szCs w:val="16"/>
              </w:rPr>
            </w:pPr>
            <w:r w:rsidRPr="00A46727">
              <w:rPr>
                <w:rFonts w:ascii="Verdana" w:hAnsi="Verdana"/>
                <w:noProof/>
                <w:sz w:val="16"/>
                <w:szCs w:val="16"/>
              </w:rPr>
              <w:t>(28</w:t>
            </w:r>
            <w:r>
              <w:rPr>
                <w:rFonts w:ascii="Verdana" w:hAnsi="Verdana"/>
                <w:noProof/>
                <w:sz w:val="16"/>
                <w:szCs w:val="16"/>
              </w:rPr>
              <w:t>,</w:t>
            </w:r>
            <w:r w:rsidRPr="00A46727">
              <w:rPr>
                <w:rFonts w:ascii="Verdana" w:hAnsi="Verdana"/>
                <w:noProof/>
                <w:sz w:val="16"/>
                <w:szCs w:val="16"/>
              </w:rPr>
              <w:t>950)</w:t>
            </w:r>
          </w:p>
        </w:tc>
      </w:tr>
      <w:tr w:rsidR="00DD0118" w:rsidRPr="00353FCF" w:rsidTr="004035FC">
        <w:trPr>
          <w:trHeight w:val="415"/>
        </w:trPr>
        <w:tc>
          <w:tcPr>
            <w:tcW w:w="3276" w:type="dxa"/>
            <w:tcBorders>
              <w:top w:val="nil"/>
              <w:left w:val="nil"/>
              <w:bottom w:val="nil"/>
              <w:right w:val="nil"/>
            </w:tcBorders>
            <w:noWrap/>
            <w:tcMar>
              <w:top w:w="0" w:type="dxa"/>
              <w:left w:w="15" w:type="dxa"/>
              <w:bottom w:w="0" w:type="dxa"/>
              <w:right w:w="15" w:type="dxa"/>
            </w:tcMar>
            <w:vAlign w:val="bottom"/>
          </w:tcPr>
          <w:p w:rsidR="00DD0118" w:rsidRPr="00353FCF" w:rsidRDefault="00DD0118" w:rsidP="004035FC">
            <w:pPr>
              <w:jc w:val="both"/>
              <w:rPr>
                <w:rFonts w:ascii="Verdana" w:hAnsi="Verdana"/>
                <w:noProof/>
                <w:sz w:val="16"/>
                <w:szCs w:val="16"/>
                <w:lang w:val="en-GB"/>
              </w:rPr>
            </w:pPr>
            <w:r w:rsidRPr="00353FCF">
              <w:rPr>
                <w:rFonts w:ascii="Verdana" w:hAnsi="Verdana"/>
                <w:noProof/>
                <w:sz w:val="16"/>
                <w:szCs w:val="16"/>
                <w:lang w:val="en-GB"/>
              </w:rPr>
              <w:t>Profit from operations EBIT</w:t>
            </w:r>
          </w:p>
        </w:tc>
        <w:tc>
          <w:tcPr>
            <w:tcW w:w="1807" w:type="dxa"/>
            <w:tcBorders>
              <w:top w:val="nil"/>
              <w:left w:val="nil"/>
              <w:bottom w:val="nil"/>
              <w:right w:val="nil"/>
            </w:tcBorders>
            <w:noWrap/>
            <w:tcMar>
              <w:top w:w="0" w:type="dxa"/>
              <w:left w:w="15" w:type="dxa"/>
              <w:bottom w:w="0" w:type="dxa"/>
              <w:right w:w="15" w:type="dxa"/>
            </w:tcMar>
            <w:vAlign w:val="bottom"/>
          </w:tcPr>
          <w:p w:rsidR="00DD0118" w:rsidRPr="000F75FE" w:rsidRDefault="00DD0118" w:rsidP="00DD0118">
            <w:pPr>
              <w:jc w:val="right"/>
              <w:rPr>
                <w:rFonts w:ascii="Verdana" w:hAnsi="Verdana"/>
                <w:noProof/>
                <w:sz w:val="16"/>
                <w:szCs w:val="16"/>
              </w:rPr>
            </w:pPr>
            <w:r w:rsidRPr="000F75FE">
              <w:rPr>
                <w:rFonts w:ascii="Verdana" w:hAnsi="Verdana"/>
                <w:noProof/>
                <w:sz w:val="16"/>
                <w:szCs w:val="16"/>
              </w:rPr>
              <w:t>20</w:t>
            </w:r>
            <w:r>
              <w:rPr>
                <w:rFonts w:ascii="Verdana" w:hAnsi="Verdana"/>
                <w:noProof/>
                <w:sz w:val="16"/>
                <w:szCs w:val="16"/>
              </w:rPr>
              <w:t>,</w:t>
            </w:r>
            <w:r w:rsidRPr="000F75FE">
              <w:rPr>
                <w:rFonts w:ascii="Verdana" w:hAnsi="Verdana"/>
                <w:noProof/>
                <w:sz w:val="16"/>
                <w:szCs w:val="16"/>
              </w:rPr>
              <w:t>434</w:t>
            </w:r>
          </w:p>
        </w:tc>
        <w:tc>
          <w:tcPr>
            <w:tcW w:w="1453" w:type="dxa"/>
            <w:gridSpan w:val="2"/>
            <w:tcBorders>
              <w:top w:val="nil"/>
              <w:left w:val="nil"/>
              <w:bottom w:val="nil"/>
              <w:right w:val="nil"/>
            </w:tcBorders>
            <w:noWrap/>
            <w:tcMar>
              <w:top w:w="0" w:type="dxa"/>
              <w:left w:w="15" w:type="dxa"/>
              <w:bottom w:w="0" w:type="dxa"/>
              <w:right w:w="15" w:type="dxa"/>
            </w:tcMar>
            <w:vAlign w:val="bottom"/>
          </w:tcPr>
          <w:p w:rsidR="00DD0118" w:rsidRPr="00A46727" w:rsidRDefault="00DD0118" w:rsidP="00DD0118">
            <w:pPr>
              <w:jc w:val="right"/>
              <w:rPr>
                <w:rFonts w:ascii="Verdana" w:hAnsi="Verdana"/>
                <w:noProof/>
                <w:sz w:val="16"/>
                <w:szCs w:val="16"/>
              </w:rPr>
            </w:pPr>
            <w:r w:rsidRPr="00A46727">
              <w:rPr>
                <w:rFonts w:ascii="Verdana" w:hAnsi="Verdana"/>
                <w:noProof/>
                <w:sz w:val="16"/>
                <w:szCs w:val="16"/>
              </w:rPr>
              <w:t>10</w:t>
            </w:r>
            <w:r>
              <w:rPr>
                <w:rFonts w:ascii="Verdana" w:hAnsi="Verdana"/>
                <w:noProof/>
                <w:sz w:val="16"/>
                <w:szCs w:val="16"/>
              </w:rPr>
              <w:t>,</w:t>
            </w:r>
            <w:r w:rsidRPr="00A46727">
              <w:rPr>
                <w:rFonts w:ascii="Verdana" w:hAnsi="Verdana"/>
                <w:noProof/>
                <w:sz w:val="16"/>
                <w:szCs w:val="16"/>
              </w:rPr>
              <w:t>029</w:t>
            </w:r>
          </w:p>
        </w:tc>
      </w:tr>
      <w:tr w:rsidR="00DD0118" w:rsidRPr="00353FCF" w:rsidTr="004035FC">
        <w:trPr>
          <w:trHeight w:val="356"/>
        </w:trPr>
        <w:tc>
          <w:tcPr>
            <w:tcW w:w="3276" w:type="dxa"/>
            <w:tcBorders>
              <w:top w:val="nil"/>
              <w:left w:val="nil"/>
              <w:bottom w:val="nil"/>
              <w:right w:val="nil"/>
            </w:tcBorders>
            <w:noWrap/>
            <w:tcMar>
              <w:top w:w="0" w:type="dxa"/>
              <w:left w:w="15" w:type="dxa"/>
              <w:bottom w:w="0" w:type="dxa"/>
              <w:right w:w="15" w:type="dxa"/>
            </w:tcMar>
            <w:vAlign w:val="bottom"/>
          </w:tcPr>
          <w:p w:rsidR="00DD0118" w:rsidRPr="00353FCF" w:rsidRDefault="00DD0118" w:rsidP="004035FC">
            <w:pPr>
              <w:jc w:val="both"/>
              <w:rPr>
                <w:rFonts w:ascii="Verdana" w:hAnsi="Verdana"/>
                <w:noProof/>
                <w:sz w:val="16"/>
                <w:szCs w:val="16"/>
                <w:lang w:val="en-GB"/>
              </w:rPr>
            </w:pPr>
            <w:r w:rsidRPr="00353FCF">
              <w:rPr>
                <w:rFonts w:ascii="Verdana" w:hAnsi="Verdana"/>
                <w:noProof/>
                <w:sz w:val="16"/>
                <w:szCs w:val="16"/>
                <w:lang w:val="en-GB"/>
              </w:rPr>
              <w:t>Finance costs – net</w:t>
            </w:r>
          </w:p>
        </w:tc>
        <w:tc>
          <w:tcPr>
            <w:tcW w:w="1807" w:type="dxa"/>
            <w:tcBorders>
              <w:top w:val="nil"/>
              <w:left w:val="nil"/>
              <w:bottom w:val="nil"/>
              <w:right w:val="nil"/>
            </w:tcBorders>
            <w:noWrap/>
            <w:tcMar>
              <w:top w:w="0" w:type="dxa"/>
              <w:left w:w="15" w:type="dxa"/>
              <w:bottom w:w="0" w:type="dxa"/>
              <w:right w:w="15" w:type="dxa"/>
            </w:tcMar>
            <w:vAlign w:val="bottom"/>
          </w:tcPr>
          <w:p w:rsidR="00DD0118" w:rsidRPr="000F75FE" w:rsidRDefault="00DD0118" w:rsidP="00726CCE">
            <w:pPr>
              <w:jc w:val="right"/>
              <w:rPr>
                <w:rFonts w:ascii="Verdana" w:hAnsi="Verdana"/>
                <w:noProof/>
                <w:sz w:val="16"/>
                <w:szCs w:val="16"/>
              </w:rPr>
            </w:pPr>
            <w:r w:rsidRPr="000F75FE">
              <w:rPr>
                <w:rFonts w:ascii="Verdana" w:hAnsi="Verdana"/>
                <w:noProof/>
                <w:sz w:val="16"/>
                <w:szCs w:val="16"/>
              </w:rPr>
              <w:t>(32</w:t>
            </w:r>
            <w:r>
              <w:rPr>
                <w:rFonts w:ascii="Verdana" w:hAnsi="Verdana"/>
                <w:noProof/>
                <w:sz w:val="16"/>
                <w:szCs w:val="16"/>
              </w:rPr>
              <w:t>,</w:t>
            </w:r>
            <w:r w:rsidRPr="000F75FE">
              <w:rPr>
                <w:rFonts w:ascii="Verdana" w:hAnsi="Verdana"/>
                <w:noProof/>
                <w:sz w:val="16"/>
                <w:szCs w:val="16"/>
              </w:rPr>
              <w:t>19</w:t>
            </w:r>
            <w:r w:rsidR="00726CCE">
              <w:rPr>
                <w:rFonts w:ascii="Verdana" w:hAnsi="Verdana"/>
                <w:noProof/>
                <w:sz w:val="16"/>
                <w:szCs w:val="16"/>
              </w:rPr>
              <w:t>4</w:t>
            </w:r>
            <w:r w:rsidRPr="000F75FE">
              <w:rPr>
                <w:rFonts w:ascii="Verdana" w:hAnsi="Verdana"/>
                <w:noProof/>
                <w:sz w:val="16"/>
                <w:szCs w:val="16"/>
              </w:rPr>
              <w:t>)</w:t>
            </w:r>
          </w:p>
        </w:tc>
        <w:tc>
          <w:tcPr>
            <w:tcW w:w="1453" w:type="dxa"/>
            <w:gridSpan w:val="2"/>
            <w:tcBorders>
              <w:top w:val="nil"/>
              <w:left w:val="nil"/>
              <w:bottom w:val="nil"/>
              <w:right w:val="nil"/>
            </w:tcBorders>
            <w:noWrap/>
            <w:tcMar>
              <w:top w:w="0" w:type="dxa"/>
              <w:left w:w="15" w:type="dxa"/>
              <w:bottom w:w="0" w:type="dxa"/>
              <w:right w:w="15" w:type="dxa"/>
            </w:tcMar>
            <w:vAlign w:val="bottom"/>
          </w:tcPr>
          <w:p w:rsidR="00DD0118" w:rsidRPr="00A46727" w:rsidRDefault="00DD0118" w:rsidP="00DD0118">
            <w:pPr>
              <w:jc w:val="right"/>
              <w:rPr>
                <w:rFonts w:ascii="Verdana" w:hAnsi="Verdana"/>
                <w:noProof/>
                <w:sz w:val="16"/>
                <w:szCs w:val="16"/>
              </w:rPr>
            </w:pPr>
            <w:r w:rsidRPr="00A46727">
              <w:rPr>
                <w:rFonts w:ascii="Verdana" w:hAnsi="Verdana"/>
                <w:noProof/>
                <w:sz w:val="16"/>
                <w:szCs w:val="16"/>
              </w:rPr>
              <w:t>(7</w:t>
            </w:r>
            <w:r>
              <w:rPr>
                <w:rFonts w:ascii="Verdana" w:hAnsi="Verdana"/>
                <w:noProof/>
                <w:sz w:val="16"/>
                <w:szCs w:val="16"/>
              </w:rPr>
              <w:t>,</w:t>
            </w:r>
            <w:r w:rsidRPr="00A46727">
              <w:rPr>
                <w:rFonts w:ascii="Verdana" w:hAnsi="Verdana"/>
                <w:noProof/>
                <w:sz w:val="16"/>
                <w:szCs w:val="16"/>
              </w:rPr>
              <w:t>091)</w:t>
            </w:r>
          </w:p>
        </w:tc>
      </w:tr>
      <w:tr w:rsidR="00DD0118" w:rsidRPr="00353FCF" w:rsidTr="004035FC">
        <w:trPr>
          <w:trHeight w:val="285"/>
        </w:trPr>
        <w:tc>
          <w:tcPr>
            <w:tcW w:w="3276" w:type="dxa"/>
            <w:tcBorders>
              <w:top w:val="nil"/>
              <w:left w:val="nil"/>
              <w:bottom w:val="nil"/>
              <w:right w:val="nil"/>
            </w:tcBorders>
            <w:noWrap/>
            <w:tcMar>
              <w:top w:w="0" w:type="dxa"/>
              <w:left w:w="15" w:type="dxa"/>
              <w:bottom w:w="0" w:type="dxa"/>
              <w:right w:w="15" w:type="dxa"/>
            </w:tcMar>
            <w:vAlign w:val="bottom"/>
          </w:tcPr>
          <w:p w:rsidR="00DD0118" w:rsidRPr="00353FCF" w:rsidRDefault="00DD0118" w:rsidP="004035FC">
            <w:pPr>
              <w:jc w:val="both"/>
              <w:rPr>
                <w:rFonts w:ascii="Verdana" w:hAnsi="Verdana"/>
                <w:noProof/>
                <w:sz w:val="16"/>
                <w:szCs w:val="16"/>
                <w:lang w:val="en-GB"/>
              </w:rPr>
            </w:pPr>
            <w:r w:rsidRPr="00353FCF">
              <w:rPr>
                <w:rFonts w:ascii="Verdana" w:hAnsi="Verdana"/>
                <w:noProof/>
                <w:sz w:val="16"/>
                <w:szCs w:val="16"/>
                <w:lang w:val="en-GB"/>
              </w:rPr>
              <w:t>Profit from associates</w:t>
            </w:r>
          </w:p>
        </w:tc>
        <w:tc>
          <w:tcPr>
            <w:tcW w:w="1807" w:type="dxa"/>
            <w:tcBorders>
              <w:top w:val="nil"/>
              <w:left w:val="nil"/>
              <w:bottom w:val="nil"/>
              <w:right w:val="nil"/>
            </w:tcBorders>
            <w:noWrap/>
            <w:tcMar>
              <w:top w:w="0" w:type="dxa"/>
              <w:left w:w="15" w:type="dxa"/>
              <w:bottom w:w="0" w:type="dxa"/>
              <w:right w:w="15" w:type="dxa"/>
            </w:tcMar>
            <w:vAlign w:val="bottom"/>
          </w:tcPr>
          <w:p w:rsidR="00DD0118" w:rsidRPr="000F75FE" w:rsidRDefault="00DD0118" w:rsidP="00DD0118">
            <w:pPr>
              <w:jc w:val="right"/>
              <w:rPr>
                <w:rFonts w:ascii="Verdana" w:hAnsi="Verdana"/>
                <w:noProof/>
                <w:sz w:val="16"/>
                <w:szCs w:val="16"/>
              </w:rPr>
            </w:pPr>
            <w:r w:rsidRPr="000F75FE">
              <w:rPr>
                <w:rFonts w:ascii="Verdana" w:hAnsi="Verdana"/>
                <w:noProof/>
                <w:sz w:val="16"/>
                <w:szCs w:val="16"/>
              </w:rPr>
              <w:t>473</w:t>
            </w:r>
          </w:p>
        </w:tc>
        <w:tc>
          <w:tcPr>
            <w:tcW w:w="1453" w:type="dxa"/>
            <w:gridSpan w:val="2"/>
            <w:tcBorders>
              <w:top w:val="nil"/>
              <w:left w:val="nil"/>
              <w:bottom w:val="nil"/>
              <w:right w:val="nil"/>
            </w:tcBorders>
            <w:noWrap/>
            <w:tcMar>
              <w:top w:w="0" w:type="dxa"/>
              <w:left w:w="15" w:type="dxa"/>
              <w:bottom w:w="0" w:type="dxa"/>
              <w:right w:w="15" w:type="dxa"/>
            </w:tcMar>
            <w:vAlign w:val="bottom"/>
          </w:tcPr>
          <w:p w:rsidR="00DD0118" w:rsidRPr="00A46727" w:rsidRDefault="00DD0118" w:rsidP="00DD0118">
            <w:pPr>
              <w:jc w:val="right"/>
              <w:rPr>
                <w:rFonts w:ascii="Verdana" w:hAnsi="Verdana"/>
                <w:noProof/>
                <w:sz w:val="16"/>
                <w:szCs w:val="16"/>
              </w:rPr>
            </w:pPr>
            <w:r w:rsidRPr="00A46727">
              <w:rPr>
                <w:rFonts w:ascii="Verdana" w:hAnsi="Verdana"/>
                <w:noProof/>
                <w:sz w:val="16"/>
                <w:szCs w:val="16"/>
              </w:rPr>
              <w:t>4</w:t>
            </w:r>
            <w:r>
              <w:rPr>
                <w:rFonts w:ascii="Verdana" w:hAnsi="Verdana"/>
                <w:noProof/>
                <w:sz w:val="16"/>
                <w:szCs w:val="16"/>
              </w:rPr>
              <w:t>,</w:t>
            </w:r>
            <w:r w:rsidRPr="00A46727">
              <w:rPr>
                <w:rFonts w:ascii="Verdana" w:hAnsi="Verdana"/>
                <w:noProof/>
                <w:sz w:val="16"/>
                <w:szCs w:val="16"/>
              </w:rPr>
              <w:t>602</w:t>
            </w:r>
          </w:p>
        </w:tc>
      </w:tr>
      <w:tr w:rsidR="00DD0118" w:rsidRPr="00353FCF" w:rsidTr="004035FC">
        <w:trPr>
          <w:trHeight w:val="285"/>
        </w:trPr>
        <w:tc>
          <w:tcPr>
            <w:tcW w:w="3276" w:type="dxa"/>
            <w:tcBorders>
              <w:top w:val="nil"/>
              <w:left w:val="nil"/>
              <w:bottom w:val="nil"/>
              <w:right w:val="nil"/>
            </w:tcBorders>
            <w:noWrap/>
            <w:tcMar>
              <w:top w:w="0" w:type="dxa"/>
              <w:left w:w="15" w:type="dxa"/>
              <w:bottom w:w="0" w:type="dxa"/>
              <w:right w:w="15" w:type="dxa"/>
            </w:tcMar>
            <w:vAlign w:val="bottom"/>
          </w:tcPr>
          <w:p w:rsidR="00DD0118" w:rsidRPr="00353FCF" w:rsidRDefault="00DD0118" w:rsidP="004035FC">
            <w:pPr>
              <w:jc w:val="both"/>
              <w:rPr>
                <w:rFonts w:ascii="Verdana" w:hAnsi="Verdana"/>
                <w:noProof/>
                <w:sz w:val="16"/>
                <w:szCs w:val="16"/>
                <w:lang w:val="en-GB"/>
              </w:rPr>
            </w:pPr>
            <w:r w:rsidRPr="00353FCF">
              <w:rPr>
                <w:rFonts w:ascii="Verdana" w:hAnsi="Verdana"/>
                <w:noProof/>
                <w:sz w:val="16"/>
                <w:szCs w:val="16"/>
                <w:lang w:val="en-GB"/>
              </w:rPr>
              <w:t>Profit before tax</w:t>
            </w:r>
          </w:p>
        </w:tc>
        <w:tc>
          <w:tcPr>
            <w:tcW w:w="1807" w:type="dxa"/>
            <w:tcBorders>
              <w:top w:val="nil"/>
              <w:left w:val="nil"/>
              <w:bottom w:val="nil"/>
              <w:right w:val="nil"/>
            </w:tcBorders>
            <w:noWrap/>
            <w:tcMar>
              <w:top w:w="0" w:type="dxa"/>
              <w:left w:w="15" w:type="dxa"/>
              <w:bottom w:w="0" w:type="dxa"/>
              <w:right w:w="15" w:type="dxa"/>
            </w:tcMar>
            <w:vAlign w:val="bottom"/>
          </w:tcPr>
          <w:p w:rsidR="00DD0118" w:rsidRPr="000F75FE" w:rsidRDefault="00DD0118" w:rsidP="00DD0118">
            <w:pPr>
              <w:jc w:val="right"/>
              <w:rPr>
                <w:rFonts w:ascii="Verdana" w:hAnsi="Verdana"/>
                <w:noProof/>
                <w:sz w:val="16"/>
                <w:szCs w:val="16"/>
              </w:rPr>
            </w:pPr>
            <w:r w:rsidRPr="000F75FE">
              <w:rPr>
                <w:rFonts w:ascii="Verdana" w:hAnsi="Verdana"/>
                <w:noProof/>
                <w:sz w:val="16"/>
                <w:szCs w:val="16"/>
              </w:rPr>
              <w:t>(11</w:t>
            </w:r>
            <w:r>
              <w:rPr>
                <w:rFonts w:ascii="Verdana" w:hAnsi="Verdana"/>
                <w:noProof/>
                <w:sz w:val="16"/>
                <w:szCs w:val="16"/>
              </w:rPr>
              <w:t>,</w:t>
            </w:r>
            <w:r w:rsidRPr="000F75FE">
              <w:rPr>
                <w:rFonts w:ascii="Verdana" w:hAnsi="Verdana"/>
                <w:noProof/>
                <w:sz w:val="16"/>
                <w:szCs w:val="16"/>
              </w:rPr>
              <w:t>286)</w:t>
            </w:r>
          </w:p>
        </w:tc>
        <w:tc>
          <w:tcPr>
            <w:tcW w:w="1453" w:type="dxa"/>
            <w:gridSpan w:val="2"/>
            <w:tcBorders>
              <w:top w:val="nil"/>
              <w:left w:val="nil"/>
              <w:bottom w:val="nil"/>
              <w:right w:val="nil"/>
            </w:tcBorders>
            <w:noWrap/>
            <w:tcMar>
              <w:top w:w="0" w:type="dxa"/>
              <w:left w:w="15" w:type="dxa"/>
              <w:bottom w:w="0" w:type="dxa"/>
              <w:right w:w="15" w:type="dxa"/>
            </w:tcMar>
            <w:vAlign w:val="bottom"/>
          </w:tcPr>
          <w:p w:rsidR="00DD0118" w:rsidRPr="00A46727" w:rsidRDefault="00DD0118" w:rsidP="00DD0118">
            <w:pPr>
              <w:jc w:val="right"/>
              <w:rPr>
                <w:rFonts w:ascii="Verdana" w:hAnsi="Verdana"/>
                <w:noProof/>
                <w:sz w:val="16"/>
                <w:szCs w:val="16"/>
              </w:rPr>
            </w:pPr>
            <w:r w:rsidRPr="00A46727">
              <w:rPr>
                <w:rFonts w:ascii="Verdana" w:hAnsi="Verdana"/>
                <w:noProof/>
                <w:sz w:val="16"/>
                <w:szCs w:val="16"/>
              </w:rPr>
              <w:t>7</w:t>
            </w:r>
            <w:r>
              <w:rPr>
                <w:rFonts w:ascii="Verdana" w:hAnsi="Verdana"/>
                <w:noProof/>
                <w:sz w:val="16"/>
                <w:szCs w:val="16"/>
              </w:rPr>
              <w:t>,</w:t>
            </w:r>
            <w:r w:rsidRPr="00A46727">
              <w:rPr>
                <w:rFonts w:ascii="Verdana" w:hAnsi="Verdana"/>
                <w:noProof/>
                <w:sz w:val="16"/>
                <w:szCs w:val="16"/>
              </w:rPr>
              <w:t>540</w:t>
            </w:r>
          </w:p>
        </w:tc>
      </w:tr>
      <w:tr w:rsidR="00DD0118" w:rsidRPr="00353FCF" w:rsidTr="004035FC">
        <w:trPr>
          <w:trHeight w:val="285"/>
        </w:trPr>
        <w:tc>
          <w:tcPr>
            <w:tcW w:w="3276" w:type="dxa"/>
            <w:tcBorders>
              <w:top w:val="nil"/>
              <w:left w:val="nil"/>
              <w:bottom w:val="nil"/>
              <w:right w:val="nil"/>
            </w:tcBorders>
            <w:noWrap/>
            <w:tcMar>
              <w:top w:w="0" w:type="dxa"/>
              <w:left w:w="15" w:type="dxa"/>
              <w:bottom w:w="0" w:type="dxa"/>
              <w:right w:w="15" w:type="dxa"/>
            </w:tcMar>
            <w:vAlign w:val="bottom"/>
          </w:tcPr>
          <w:p w:rsidR="00DD0118" w:rsidRPr="00353FCF" w:rsidRDefault="00DD0118" w:rsidP="004035FC">
            <w:pPr>
              <w:jc w:val="both"/>
              <w:rPr>
                <w:rFonts w:ascii="Verdana" w:hAnsi="Verdana"/>
                <w:noProof/>
                <w:sz w:val="16"/>
                <w:szCs w:val="16"/>
                <w:lang w:val="en-GB"/>
              </w:rPr>
            </w:pPr>
            <w:r w:rsidRPr="00353FCF">
              <w:rPr>
                <w:rFonts w:ascii="Verdana" w:hAnsi="Verdana"/>
                <w:noProof/>
                <w:sz w:val="16"/>
                <w:szCs w:val="16"/>
                <w:lang w:val="en-GB"/>
              </w:rPr>
              <w:t>Tax expense</w:t>
            </w:r>
          </w:p>
        </w:tc>
        <w:tc>
          <w:tcPr>
            <w:tcW w:w="1807" w:type="dxa"/>
            <w:tcBorders>
              <w:top w:val="nil"/>
              <w:left w:val="nil"/>
              <w:bottom w:val="nil"/>
              <w:right w:val="nil"/>
            </w:tcBorders>
            <w:noWrap/>
            <w:tcMar>
              <w:top w:w="0" w:type="dxa"/>
              <w:left w:w="15" w:type="dxa"/>
              <w:bottom w:w="0" w:type="dxa"/>
              <w:right w:w="15" w:type="dxa"/>
            </w:tcMar>
            <w:vAlign w:val="bottom"/>
          </w:tcPr>
          <w:p w:rsidR="00DD0118" w:rsidRPr="000F75FE" w:rsidRDefault="00DD0118" w:rsidP="00726CCE">
            <w:pPr>
              <w:jc w:val="right"/>
              <w:rPr>
                <w:rFonts w:ascii="Verdana" w:hAnsi="Verdana"/>
                <w:noProof/>
                <w:sz w:val="16"/>
                <w:szCs w:val="16"/>
              </w:rPr>
            </w:pPr>
            <w:r w:rsidRPr="000F75FE">
              <w:rPr>
                <w:rFonts w:ascii="Verdana" w:hAnsi="Verdana"/>
                <w:noProof/>
                <w:sz w:val="16"/>
                <w:szCs w:val="16"/>
              </w:rPr>
              <w:t>2</w:t>
            </w:r>
            <w:r>
              <w:rPr>
                <w:rFonts w:ascii="Verdana" w:hAnsi="Verdana"/>
                <w:noProof/>
                <w:sz w:val="16"/>
                <w:szCs w:val="16"/>
              </w:rPr>
              <w:t>,</w:t>
            </w:r>
            <w:r w:rsidRPr="000F75FE">
              <w:rPr>
                <w:rFonts w:ascii="Verdana" w:hAnsi="Verdana"/>
                <w:noProof/>
                <w:sz w:val="16"/>
                <w:szCs w:val="16"/>
              </w:rPr>
              <w:t>88</w:t>
            </w:r>
            <w:r w:rsidR="00726CCE">
              <w:rPr>
                <w:rFonts w:ascii="Verdana" w:hAnsi="Verdana"/>
                <w:noProof/>
                <w:sz w:val="16"/>
                <w:szCs w:val="16"/>
              </w:rPr>
              <w:t>2</w:t>
            </w:r>
          </w:p>
        </w:tc>
        <w:tc>
          <w:tcPr>
            <w:tcW w:w="1453" w:type="dxa"/>
            <w:gridSpan w:val="2"/>
            <w:tcBorders>
              <w:top w:val="nil"/>
              <w:left w:val="nil"/>
              <w:bottom w:val="nil"/>
              <w:right w:val="nil"/>
            </w:tcBorders>
            <w:noWrap/>
            <w:tcMar>
              <w:top w:w="0" w:type="dxa"/>
              <w:left w:w="15" w:type="dxa"/>
              <w:bottom w:w="0" w:type="dxa"/>
              <w:right w:w="15" w:type="dxa"/>
            </w:tcMar>
            <w:vAlign w:val="bottom"/>
          </w:tcPr>
          <w:p w:rsidR="00DD0118" w:rsidRPr="00A46727" w:rsidRDefault="00DD0118" w:rsidP="00DD0118">
            <w:pPr>
              <w:jc w:val="right"/>
              <w:rPr>
                <w:rFonts w:ascii="Verdana" w:hAnsi="Verdana"/>
                <w:noProof/>
                <w:sz w:val="16"/>
                <w:szCs w:val="16"/>
              </w:rPr>
            </w:pPr>
            <w:r w:rsidRPr="00A46727">
              <w:rPr>
                <w:rFonts w:ascii="Verdana" w:hAnsi="Verdana"/>
                <w:noProof/>
                <w:sz w:val="16"/>
                <w:szCs w:val="16"/>
              </w:rPr>
              <w:t>(1</w:t>
            </w:r>
            <w:r>
              <w:rPr>
                <w:rFonts w:ascii="Verdana" w:hAnsi="Verdana"/>
                <w:noProof/>
                <w:sz w:val="16"/>
                <w:szCs w:val="16"/>
              </w:rPr>
              <w:t>,</w:t>
            </w:r>
            <w:r w:rsidRPr="00A46727">
              <w:rPr>
                <w:rFonts w:ascii="Verdana" w:hAnsi="Verdana"/>
                <w:noProof/>
                <w:sz w:val="16"/>
                <w:szCs w:val="16"/>
              </w:rPr>
              <w:t>474)</w:t>
            </w:r>
          </w:p>
        </w:tc>
      </w:tr>
      <w:tr w:rsidR="00DD0118" w:rsidRPr="00353FCF" w:rsidTr="004035FC">
        <w:trPr>
          <w:trHeight w:val="481"/>
        </w:trPr>
        <w:tc>
          <w:tcPr>
            <w:tcW w:w="3276" w:type="dxa"/>
            <w:tcBorders>
              <w:top w:val="nil"/>
              <w:left w:val="nil"/>
              <w:bottom w:val="nil"/>
              <w:right w:val="nil"/>
            </w:tcBorders>
            <w:noWrap/>
            <w:tcMar>
              <w:top w:w="0" w:type="dxa"/>
              <w:left w:w="15" w:type="dxa"/>
              <w:bottom w:w="0" w:type="dxa"/>
              <w:right w:w="15" w:type="dxa"/>
            </w:tcMar>
            <w:vAlign w:val="bottom"/>
          </w:tcPr>
          <w:p w:rsidR="00DD0118" w:rsidRPr="00353FCF" w:rsidRDefault="00DD0118" w:rsidP="004035FC">
            <w:pPr>
              <w:jc w:val="both"/>
              <w:rPr>
                <w:rFonts w:ascii="Verdana" w:hAnsi="Verdana"/>
                <w:noProof/>
                <w:sz w:val="16"/>
                <w:szCs w:val="16"/>
                <w:lang w:val="en-GB"/>
              </w:rPr>
            </w:pPr>
            <w:r w:rsidRPr="00353FCF">
              <w:rPr>
                <w:rFonts w:ascii="Verdana" w:hAnsi="Verdana"/>
                <w:noProof/>
                <w:sz w:val="16"/>
                <w:szCs w:val="16"/>
                <w:lang w:val="en-GB"/>
              </w:rPr>
              <w:t>Profit for period</w:t>
            </w:r>
          </w:p>
        </w:tc>
        <w:tc>
          <w:tcPr>
            <w:tcW w:w="1807" w:type="dxa"/>
            <w:tcBorders>
              <w:top w:val="nil"/>
              <w:left w:val="nil"/>
              <w:bottom w:val="nil"/>
              <w:right w:val="nil"/>
            </w:tcBorders>
            <w:noWrap/>
            <w:tcMar>
              <w:top w:w="0" w:type="dxa"/>
              <w:left w:w="15" w:type="dxa"/>
              <w:bottom w:w="0" w:type="dxa"/>
              <w:right w:w="15" w:type="dxa"/>
            </w:tcMar>
            <w:vAlign w:val="bottom"/>
          </w:tcPr>
          <w:p w:rsidR="00DD0118" w:rsidRPr="000F75FE" w:rsidRDefault="00DD0118" w:rsidP="00DD0118">
            <w:pPr>
              <w:jc w:val="right"/>
              <w:rPr>
                <w:rFonts w:ascii="Verdana" w:hAnsi="Verdana"/>
                <w:noProof/>
                <w:sz w:val="16"/>
                <w:szCs w:val="16"/>
              </w:rPr>
            </w:pPr>
            <w:r w:rsidRPr="000F75FE">
              <w:rPr>
                <w:rFonts w:ascii="Verdana" w:hAnsi="Verdana"/>
                <w:noProof/>
                <w:sz w:val="16"/>
                <w:szCs w:val="16"/>
              </w:rPr>
              <w:t>(8</w:t>
            </w:r>
            <w:r>
              <w:rPr>
                <w:rFonts w:ascii="Verdana" w:hAnsi="Verdana"/>
                <w:noProof/>
                <w:sz w:val="16"/>
                <w:szCs w:val="16"/>
              </w:rPr>
              <w:t>,</w:t>
            </w:r>
            <w:r w:rsidRPr="000F75FE">
              <w:rPr>
                <w:rFonts w:ascii="Verdana" w:hAnsi="Verdana"/>
                <w:noProof/>
                <w:sz w:val="16"/>
                <w:szCs w:val="16"/>
              </w:rPr>
              <w:t>405)</w:t>
            </w:r>
          </w:p>
        </w:tc>
        <w:tc>
          <w:tcPr>
            <w:tcW w:w="1453" w:type="dxa"/>
            <w:gridSpan w:val="2"/>
            <w:tcBorders>
              <w:top w:val="nil"/>
              <w:left w:val="nil"/>
              <w:bottom w:val="nil"/>
              <w:right w:val="nil"/>
            </w:tcBorders>
            <w:noWrap/>
            <w:tcMar>
              <w:top w:w="0" w:type="dxa"/>
              <w:left w:w="15" w:type="dxa"/>
              <w:bottom w:w="0" w:type="dxa"/>
              <w:right w:w="15" w:type="dxa"/>
            </w:tcMar>
            <w:vAlign w:val="bottom"/>
          </w:tcPr>
          <w:p w:rsidR="00DD0118" w:rsidRPr="00A46727" w:rsidRDefault="00DD0118" w:rsidP="00DD0118">
            <w:pPr>
              <w:jc w:val="right"/>
              <w:rPr>
                <w:rFonts w:ascii="Verdana" w:hAnsi="Verdana"/>
                <w:noProof/>
                <w:sz w:val="16"/>
                <w:szCs w:val="16"/>
              </w:rPr>
            </w:pPr>
            <w:r w:rsidRPr="00A46727">
              <w:rPr>
                <w:rFonts w:ascii="Verdana" w:hAnsi="Verdana"/>
                <w:noProof/>
                <w:sz w:val="16"/>
                <w:szCs w:val="16"/>
              </w:rPr>
              <w:t>6</w:t>
            </w:r>
            <w:r>
              <w:rPr>
                <w:rFonts w:ascii="Verdana" w:hAnsi="Verdana"/>
                <w:noProof/>
                <w:sz w:val="16"/>
                <w:szCs w:val="16"/>
              </w:rPr>
              <w:t>,</w:t>
            </w:r>
            <w:r w:rsidRPr="00A46727">
              <w:rPr>
                <w:rFonts w:ascii="Verdana" w:hAnsi="Verdana"/>
                <w:noProof/>
                <w:sz w:val="16"/>
                <w:szCs w:val="16"/>
              </w:rPr>
              <w:t>066</w:t>
            </w:r>
          </w:p>
        </w:tc>
      </w:tr>
      <w:tr w:rsidR="00DD0118" w:rsidRPr="00353FCF" w:rsidTr="004035FC">
        <w:trPr>
          <w:trHeight w:val="285"/>
        </w:trPr>
        <w:tc>
          <w:tcPr>
            <w:tcW w:w="3276" w:type="dxa"/>
            <w:tcBorders>
              <w:top w:val="nil"/>
              <w:left w:val="nil"/>
              <w:bottom w:val="nil"/>
              <w:right w:val="nil"/>
            </w:tcBorders>
            <w:noWrap/>
            <w:tcMar>
              <w:top w:w="0" w:type="dxa"/>
              <w:left w:w="15" w:type="dxa"/>
              <w:bottom w:w="0" w:type="dxa"/>
              <w:right w:w="15" w:type="dxa"/>
            </w:tcMar>
            <w:vAlign w:val="bottom"/>
          </w:tcPr>
          <w:p w:rsidR="00DD0118" w:rsidRPr="00353FCF" w:rsidRDefault="00DD0118" w:rsidP="004035FC">
            <w:pPr>
              <w:jc w:val="both"/>
              <w:rPr>
                <w:rFonts w:ascii="Verdana" w:hAnsi="Verdana"/>
                <w:noProof/>
                <w:sz w:val="16"/>
                <w:szCs w:val="16"/>
                <w:lang w:val="en-GB"/>
              </w:rPr>
            </w:pPr>
          </w:p>
        </w:tc>
        <w:tc>
          <w:tcPr>
            <w:tcW w:w="1807" w:type="dxa"/>
            <w:tcBorders>
              <w:top w:val="nil"/>
              <w:left w:val="nil"/>
              <w:bottom w:val="nil"/>
              <w:right w:val="nil"/>
            </w:tcBorders>
            <w:noWrap/>
            <w:tcMar>
              <w:top w:w="0" w:type="dxa"/>
              <w:left w:w="15" w:type="dxa"/>
              <w:bottom w:w="0" w:type="dxa"/>
              <w:right w:w="15" w:type="dxa"/>
            </w:tcMar>
            <w:vAlign w:val="bottom"/>
          </w:tcPr>
          <w:p w:rsidR="00DD0118" w:rsidRPr="00FA6496" w:rsidRDefault="00DD0118" w:rsidP="00DD0118">
            <w:pPr>
              <w:jc w:val="right"/>
              <w:rPr>
                <w:rFonts w:ascii="Verdana" w:hAnsi="Verdana"/>
                <w:noProof/>
                <w:sz w:val="16"/>
                <w:szCs w:val="16"/>
                <w:highlight w:val="yellow"/>
              </w:rPr>
            </w:pPr>
          </w:p>
        </w:tc>
        <w:tc>
          <w:tcPr>
            <w:tcW w:w="1453" w:type="dxa"/>
            <w:gridSpan w:val="2"/>
            <w:tcBorders>
              <w:top w:val="nil"/>
              <w:left w:val="nil"/>
              <w:bottom w:val="nil"/>
              <w:right w:val="nil"/>
            </w:tcBorders>
            <w:noWrap/>
            <w:tcMar>
              <w:top w:w="0" w:type="dxa"/>
              <w:left w:w="15" w:type="dxa"/>
              <w:bottom w:w="0" w:type="dxa"/>
              <w:right w:w="15" w:type="dxa"/>
            </w:tcMar>
            <w:vAlign w:val="bottom"/>
          </w:tcPr>
          <w:p w:rsidR="00DD0118" w:rsidRPr="00A46727" w:rsidRDefault="00DD0118" w:rsidP="00DD0118">
            <w:pPr>
              <w:jc w:val="right"/>
              <w:rPr>
                <w:rFonts w:ascii="Verdana" w:hAnsi="Verdana"/>
                <w:noProof/>
                <w:sz w:val="16"/>
                <w:szCs w:val="16"/>
              </w:rPr>
            </w:pPr>
          </w:p>
        </w:tc>
      </w:tr>
      <w:tr w:rsidR="00DD0118" w:rsidRPr="00353FCF" w:rsidTr="004035FC">
        <w:trPr>
          <w:trHeight w:val="285"/>
        </w:trPr>
        <w:tc>
          <w:tcPr>
            <w:tcW w:w="3276" w:type="dxa"/>
            <w:tcBorders>
              <w:top w:val="nil"/>
              <w:left w:val="nil"/>
              <w:bottom w:val="nil"/>
              <w:right w:val="nil"/>
            </w:tcBorders>
            <w:noWrap/>
            <w:tcMar>
              <w:top w:w="0" w:type="dxa"/>
              <w:left w:w="15" w:type="dxa"/>
              <w:bottom w:w="0" w:type="dxa"/>
              <w:right w:w="15" w:type="dxa"/>
            </w:tcMar>
            <w:vAlign w:val="bottom"/>
          </w:tcPr>
          <w:p w:rsidR="00DD0118" w:rsidRPr="00353FCF" w:rsidRDefault="00DD0118" w:rsidP="004035FC">
            <w:pPr>
              <w:jc w:val="both"/>
              <w:rPr>
                <w:rFonts w:ascii="Verdana" w:hAnsi="Verdana"/>
                <w:noProof/>
                <w:sz w:val="16"/>
                <w:szCs w:val="16"/>
                <w:lang w:val="en-GB"/>
              </w:rPr>
            </w:pPr>
            <w:r w:rsidRPr="00353FCF">
              <w:rPr>
                <w:rFonts w:ascii="Verdana" w:hAnsi="Verdana"/>
                <w:noProof/>
                <w:sz w:val="16"/>
                <w:szCs w:val="16"/>
                <w:lang w:val="en-GB"/>
              </w:rPr>
              <w:t xml:space="preserve">EBITDA </w:t>
            </w:r>
          </w:p>
        </w:tc>
        <w:tc>
          <w:tcPr>
            <w:tcW w:w="1807" w:type="dxa"/>
            <w:tcBorders>
              <w:top w:val="nil"/>
              <w:left w:val="nil"/>
              <w:bottom w:val="nil"/>
              <w:right w:val="nil"/>
            </w:tcBorders>
            <w:noWrap/>
            <w:tcMar>
              <w:top w:w="0" w:type="dxa"/>
              <w:left w:w="15" w:type="dxa"/>
              <w:bottom w:w="0" w:type="dxa"/>
              <w:right w:w="15" w:type="dxa"/>
            </w:tcMar>
            <w:vAlign w:val="bottom"/>
          </w:tcPr>
          <w:p w:rsidR="00DD0118" w:rsidRPr="00FA6496" w:rsidRDefault="00DD0118" w:rsidP="00DD0118">
            <w:pPr>
              <w:jc w:val="right"/>
              <w:rPr>
                <w:rFonts w:ascii="Verdana" w:hAnsi="Verdana"/>
                <w:noProof/>
                <w:sz w:val="16"/>
                <w:szCs w:val="16"/>
                <w:highlight w:val="yellow"/>
              </w:rPr>
            </w:pPr>
            <w:r w:rsidRPr="00D8068C">
              <w:rPr>
                <w:rFonts w:ascii="Verdana" w:hAnsi="Verdana"/>
                <w:noProof/>
                <w:sz w:val="16"/>
                <w:szCs w:val="16"/>
              </w:rPr>
              <w:t>42</w:t>
            </w:r>
            <w:r>
              <w:rPr>
                <w:rFonts w:ascii="Verdana" w:hAnsi="Verdana"/>
                <w:noProof/>
                <w:sz w:val="16"/>
                <w:szCs w:val="16"/>
              </w:rPr>
              <w:t>,</w:t>
            </w:r>
            <w:r w:rsidRPr="00D8068C">
              <w:rPr>
                <w:rFonts w:ascii="Verdana" w:hAnsi="Verdana"/>
                <w:noProof/>
                <w:sz w:val="16"/>
                <w:szCs w:val="16"/>
              </w:rPr>
              <w:t>107</w:t>
            </w:r>
          </w:p>
        </w:tc>
        <w:tc>
          <w:tcPr>
            <w:tcW w:w="1453" w:type="dxa"/>
            <w:gridSpan w:val="2"/>
            <w:tcBorders>
              <w:top w:val="nil"/>
              <w:left w:val="nil"/>
              <w:bottom w:val="nil"/>
              <w:right w:val="nil"/>
            </w:tcBorders>
            <w:noWrap/>
            <w:tcMar>
              <w:top w:w="0" w:type="dxa"/>
              <w:left w:w="15" w:type="dxa"/>
              <w:bottom w:w="0" w:type="dxa"/>
              <w:right w:w="15" w:type="dxa"/>
            </w:tcMar>
            <w:vAlign w:val="bottom"/>
          </w:tcPr>
          <w:p w:rsidR="00DD0118" w:rsidRPr="00A46727" w:rsidRDefault="00DD0118" w:rsidP="00DD0118">
            <w:pPr>
              <w:jc w:val="right"/>
              <w:rPr>
                <w:rFonts w:ascii="Verdana" w:hAnsi="Verdana"/>
                <w:noProof/>
                <w:sz w:val="16"/>
                <w:szCs w:val="16"/>
              </w:rPr>
            </w:pPr>
            <w:r w:rsidRPr="00A46727">
              <w:rPr>
                <w:rFonts w:ascii="Verdana" w:hAnsi="Verdana"/>
                <w:noProof/>
                <w:sz w:val="16"/>
                <w:szCs w:val="16"/>
              </w:rPr>
              <w:t>20</w:t>
            </w:r>
            <w:r>
              <w:rPr>
                <w:rFonts w:ascii="Verdana" w:hAnsi="Verdana"/>
                <w:noProof/>
                <w:sz w:val="16"/>
                <w:szCs w:val="16"/>
              </w:rPr>
              <w:t>,</w:t>
            </w:r>
            <w:r w:rsidRPr="00A46727">
              <w:rPr>
                <w:rFonts w:ascii="Verdana" w:hAnsi="Verdana"/>
                <w:noProof/>
                <w:sz w:val="16"/>
                <w:szCs w:val="16"/>
              </w:rPr>
              <w:t>980</w:t>
            </w:r>
          </w:p>
        </w:tc>
      </w:tr>
      <w:tr w:rsidR="00FD088F" w:rsidRPr="00353FCF" w:rsidTr="004035FC">
        <w:trPr>
          <w:trHeight w:val="285"/>
        </w:trPr>
        <w:tc>
          <w:tcPr>
            <w:tcW w:w="3276" w:type="dxa"/>
            <w:tcBorders>
              <w:top w:val="nil"/>
              <w:left w:val="nil"/>
              <w:bottom w:val="nil"/>
              <w:right w:val="nil"/>
            </w:tcBorders>
            <w:noWrap/>
            <w:tcMar>
              <w:top w:w="15" w:type="dxa"/>
              <w:left w:w="15" w:type="dxa"/>
              <w:bottom w:w="0" w:type="dxa"/>
              <w:right w:w="15" w:type="dxa"/>
            </w:tcMar>
            <w:vAlign w:val="bottom"/>
          </w:tcPr>
          <w:p w:rsidR="00FD088F" w:rsidRPr="00353FCF" w:rsidRDefault="00FD088F" w:rsidP="004035FC">
            <w:pPr>
              <w:jc w:val="both"/>
              <w:rPr>
                <w:rFonts w:ascii="Verdana" w:hAnsi="Verdana"/>
                <w:noProof/>
                <w:sz w:val="16"/>
                <w:szCs w:val="16"/>
                <w:highlight w:val="yellow"/>
                <w:lang w:val="en-GB"/>
              </w:rPr>
            </w:pPr>
          </w:p>
        </w:tc>
        <w:tc>
          <w:tcPr>
            <w:tcW w:w="1807" w:type="dxa"/>
            <w:tcBorders>
              <w:top w:val="nil"/>
              <w:left w:val="nil"/>
              <w:bottom w:val="nil"/>
              <w:right w:val="nil"/>
            </w:tcBorders>
            <w:noWrap/>
            <w:tcMar>
              <w:top w:w="15" w:type="dxa"/>
              <w:left w:w="15" w:type="dxa"/>
              <w:bottom w:w="0" w:type="dxa"/>
              <w:right w:w="15" w:type="dxa"/>
            </w:tcMar>
            <w:vAlign w:val="bottom"/>
          </w:tcPr>
          <w:p w:rsidR="00FD088F" w:rsidRPr="00353FCF" w:rsidRDefault="00FD088F" w:rsidP="00FD088F">
            <w:pPr>
              <w:jc w:val="right"/>
              <w:rPr>
                <w:rFonts w:ascii="Verdana" w:hAnsi="Verdana"/>
                <w:noProof/>
                <w:sz w:val="16"/>
                <w:szCs w:val="16"/>
                <w:highlight w:val="yellow"/>
                <w:lang w:val="en-GB"/>
              </w:rPr>
            </w:pPr>
          </w:p>
        </w:tc>
        <w:tc>
          <w:tcPr>
            <w:tcW w:w="1453" w:type="dxa"/>
            <w:gridSpan w:val="2"/>
            <w:tcBorders>
              <w:top w:val="nil"/>
              <w:left w:val="nil"/>
              <w:bottom w:val="nil"/>
              <w:right w:val="nil"/>
            </w:tcBorders>
            <w:noWrap/>
            <w:tcMar>
              <w:top w:w="15" w:type="dxa"/>
              <w:left w:w="15" w:type="dxa"/>
              <w:bottom w:w="0" w:type="dxa"/>
              <w:right w:w="15" w:type="dxa"/>
            </w:tcMar>
            <w:vAlign w:val="bottom"/>
          </w:tcPr>
          <w:p w:rsidR="00FD088F" w:rsidRPr="00353FCF" w:rsidRDefault="00FD088F" w:rsidP="00FD088F">
            <w:pPr>
              <w:jc w:val="right"/>
              <w:rPr>
                <w:rFonts w:ascii="Verdana" w:hAnsi="Verdana"/>
                <w:noProof/>
                <w:sz w:val="16"/>
                <w:szCs w:val="16"/>
                <w:highlight w:val="yellow"/>
                <w:lang w:val="en-GB"/>
              </w:rPr>
            </w:pPr>
          </w:p>
        </w:tc>
      </w:tr>
      <w:tr w:rsidR="00FD088F" w:rsidRPr="00353FCF" w:rsidTr="004035FC">
        <w:trPr>
          <w:trHeight w:val="255"/>
        </w:trPr>
        <w:tc>
          <w:tcPr>
            <w:tcW w:w="3276" w:type="dxa"/>
            <w:tcBorders>
              <w:top w:val="nil"/>
              <w:left w:val="nil"/>
              <w:bottom w:val="nil"/>
              <w:right w:val="nil"/>
            </w:tcBorders>
            <w:shd w:val="clear" w:color="auto" w:fill="C0C0C0"/>
            <w:noWrap/>
            <w:tcMar>
              <w:top w:w="0" w:type="dxa"/>
              <w:left w:w="15" w:type="dxa"/>
              <w:bottom w:w="0" w:type="dxa"/>
              <w:right w:w="15" w:type="dxa"/>
            </w:tcMar>
            <w:vAlign w:val="bottom"/>
          </w:tcPr>
          <w:p w:rsidR="00FD088F" w:rsidRPr="00353FCF" w:rsidRDefault="00FD088F" w:rsidP="004035FC">
            <w:pPr>
              <w:jc w:val="both"/>
              <w:rPr>
                <w:rFonts w:ascii="Verdana" w:hAnsi="Verdana"/>
                <w:b/>
                <w:noProof/>
                <w:sz w:val="16"/>
                <w:szCs w:val="16"/>
                <w:lang w:val="en-GB"/>
              </w:rPr>
            </w:pPr>
            <w:r w:rsidRPr="00353FCF">
              <w:rPr>
                <w:rFonts w:ascii="Verdana" w:hAnsi="Verdana"/>
                <w:b/>
                <w:noProof/>
                <w:sz w:val="16"/>
                <w:szCs w:val="16"/>
                <w:lang w:val="en-GB"/>
              </w:rPr>
              <w:t>Percent of sales</w:t>
            </w:r>
          </w:p>
        </w:tc>
        <w:tc>
          <w:tcPr>
            <w:tcW w:w="1807" w:type="dxa"/>
            <w:tcBorders>
              <w:top w:val="nil"/>
              <w:left w:val="nil"/>
              <w:bottom w:val="nil"/>
              <w:right w:val="nil"/>
            </w:tcBorders>
            <w:shd w:val="clear" w:color="auto" w:fill="C0C0C0"/>
            <w:noWrap/>
            <w:tcMar>
              <w:top w:w="0" w:type="dxa"/>
              <w:left w:w="15" w:type="dxa"/>
              <w:bottom w:w="0" w:type="dxa"/>
              <w:right w:w="15" w:type="dxa"/>
            </w:tcMar>
            <w:vAlign w:val="bottom"/>
          </w:tcPr>
          <w:p w:rsidR="00FD088F" w:rsidRPr="00353FCF" w:rsidRDefault="00FD088F" w:rsidP="00FD088F">
            <w:pPr>
              <w:jc w:val="right"/>
              <w:rPr>
                <w:rFonts w:ascii="Verdana" w:hAnsi="Verdana"/>
                <w:noProof/>
                <w:sz w:val="16"/>
                <w:szCs w:val="16"/>
                <w:lang w:val="en-GB"/>
              </w:rPr>
            </w:pPr>
          </w:p>
        </w:tc>
        <w:tc>
          <w:tcPr>
            <w:tcW w:w="1453" w:type="dxa"/>
            <w:gridSpan w:val="2"/>
            <w:tcBorders>
              <w:top w:val="nil"/>
              <w:left w:val="nil"/>
              <w:bottom w:val="nil"/>
              <w:right w:val="nil"/>
            </w:tcBorders>
            <w:shd w:val="clear" w:color="auto" w:fill="C0C0C0"/>
            <w:noWrap/>
            <w:tcMar>
              <w:top w:w="0" w:type="dxa"/>
              <w:left w:w="15" w:type="dxa"/>
              <w:bottom w:w="0" w:type="dxa"/>
              <w:right w:w="15" w:type="dxa"/>
            </w:tcMar>
            <w:vAlign w:val="bottom"/>
          </w:tcPr>
          <w:p w:rsidR="00FD088F" w:rsidRPr="00353FCF" w:rsidRDefault="00FD088F" w:rsidP="00FD088F">
            <w:pPr>
              <w:jc w:val="right"/>
              <w:rPr>
                <w:rFonts w:ascii="Verdana" w:hAnsi="Verdana"/>
                <w:noProof/>
                <w:sz w:val="16"/>
                <w:szCs w:val="16"/>
                <w:highlight w:val="yellow"/>
                <w:lang w:val="en-GB"/>
              </w:rPr>
            </w:pPr>
          </w:p>
        </w:tc>
      </w:tr>
      <w:tr w:rsidR="00DD0118" w:rsidRPr="00353FCF" w:rsidTr="004035FC">
        <w:trPr>
          <w:trHeight w:val="285"/>
        </w:trPr>
        <w:tc>
          <w:tcPr>
            <w:tcW w:w="3276" w:type="dxa"/>
            <w:tcBorders>
              <w:top w:val="nil"/>
              <w:left w:val="nil"/>
              <w:bottom w:val="nil"/>
              <w:right w:val="nil"/>
            </w:tcBorders>
            <w:noWrap/>
            <w:tcMar>
              <w:top w:w="0" w:type="dxa"/>
              <w:left w:w="15" w:type="dxa"/>
              <w:bottom w:w="0" w:type="dxa"/>
              <w:right w:w="15" w:type="dxa"/>
            </w:tcMar>
            <w:vAlign w:val="bottom"/>
          </w:tcPr>
          <w:p w:rsidR="00DD0118" w:rsidRPr="00353FCF" w:rsidRDefault="00DD0118" w:rsidP="004035FC">
            <w:pPr>
              <w:jc w:val="both"/>
              <w:rPr>
                <w:rFonts w:ascii="Verdana" w:hAnsi="Verdana"/>
                <w:noProof/>
                <w:sz w:val="16"/>
                <w:szCs w:val="16"/>
                <w:lang w:val="en-GB"/>
              </w:rPr>
            </w:pPr>
            <w:r w:rsidRPr="00353FCF">
              <w:rPr>
                <w:rFonts w:ascii="Verdana" w:hAnsi="Verdana"/>
                <w:noProof/>
                <w:sz w:val="16"/>
                <w:szCs w:val="16"/>
                <w:lang w:val="en-GB"/>
              </w:rPr>
              <w:t>Contribution margin</w:t>
            </w:r>
          </w:p>
        </w:tc>
        <w:tc>
          <w:tcPr>
            <w:tcW w:w="1807" w:type="dxa"/>
            <w:tcBorders>
              <w:top w:val="nil"/>
              <w:left w:val="nil"/>
              <w:bottom w:val="nil"/>
              <w:right w:val="nil"/>
            </w:tcBorders>
            <w:noWrap/>
            <w:tcMar>
              <w:top w:w="0" w:type="dxa"/>
              <w:left w:w="15" w:type="dxa"/>
              <w:bottom w:w="0" w:type="dxa"/>
              <w:right w:w="15" w:type="dxa"/>
            </w:tcMar>
            <w:vAlign w:val="bottom"/>
          </w:tcPr>
          <w:p w:rsidR="00DD0118" w:rsidRPr="00D8068C" w:rsidRDefault="00DD0118" w:rsidP="00DD0118">
            <w:pPr>
              <w:jc w:val="right"/>
              <w:rPr>
                <w:rFonts w:ascii="Verdana" w:hAnsi="Verdana"/>
                <w:noProof/>
                <w:sz w:val="16"/>
                <w:szCs w:val="16"/>
              </w:rPr>
            </w:pPr>
            <w:r w:rsidRPr="00D8068C">
              <w:rPr>
                <w:rFonts w:ascii="Verdana" w:hAnsi="Verdana"/>
                <w:noProof/>
                <w:sz w:val="16"/>
                <w:szCs w:val="16"/>
              </w:rPr>
              <w:t>33</w:t>
            </w:r>
            <w:r>
              <w:rPr>
                <w:rFonts w:ascii="Verdana" w:hAnsi="Verdana"/>
                <w:noProof/>
                <w:sz w:val="16"/>
                <w:szCs w:val="16"/>
              </w:rPr>
              <w:t>.</w:t>
            </w:r>
            <w:r w:rsidRPr="00D8068C">
              <w:rPr>
                <w:rFonts w:ascii="Verdana" w:hAnsi="Verdana"/>
                <w:noProof/>
                <w:sz w:val="16"/>
                <w:szCs w:val="16"/>
              </w:rPr>
              <w:t>1%</w:t>
            </w:r>
          </w:p>
        </w:tc>
        <w:tc>
          <w:tcPr>
            <w:tcW w:w="1453" w:type="dxa"/>
            <w:gridSpan w:val="2"/>
            <w:tcBorders>
              <w:top w:val="nil"/>
              <w:left w:val="nil"/>
              <w:bottom w:val="nil"/>
              <w:right w:val="nil"/>
            </w:tcBorders>
            <w:noWrap/>
            <w:tcMar>
              <w:top w:w="0" w:type="dxa"/>
              <w:left w:w="15" w:type="dxa"/>
              <w:bottom w:w="0" w:type="dxa"/>
              <w:right w:w="15" w:type="dxa"/>
            </w:tcMar>
            <w:vAlign w:val="bottom"/>
          </w:tcPr>
          <w:p w:rsidR="00DD0118" w:rsidRPr="00D8068C" w:rsidRDefault="00DD0118" w:rsidP="00DD0118">
            <w:pPr>
              <w:jc w:val="right"/>
              <w:rPr>
                <w:rFonts w:ascii="Verdana" w:hAnsi="Verdana"/>
                <w:noProof/>
                <w:sz w:val="16"/>
                <w:szCs w:val="16"/>
              </w:rPr>
            </w:pPr>
            <w:r w:rsidRPr="00D8068C">
              <w:rPr>
                <w:rFonts w:ascii="Verdana" w:hAnsi="Verdana"/>
                <w:noProof/>
                <w:sz w:val="16"/>
                <w:szCs w:val="16"/>
              </w:rPr>
              <w:t>33</w:t>
            </w:r>
            <w:r>
              <w:rPr>
                <w:rFonts w:ascii="Verdana" w:hAnsi="Verdana"/>
                <w:noProof/>
                <w:sz w:val="16"/>
                <w:szCs w:val="16"/>
              </w:rPr>
              <w:t>.</w:t>
            </w:r>
            <w:r w:rsidRPr="00D8068C">
              <w:rPr>
                <w:rFonts w:ascii="Verdana" w:hAnsi="Verdana"/>
                <w:noProof/>
                <w:sz w:val="16"/>
                <w:szCs w:val="16"/>
              </w:rPr>
              <w:t>6%</w:t>
            </w:r>
          </w:p>
        </w:tc>
      </w:tr>
      <w:tr w:rsidR="00DD0118" w:rsidRPr="00353FCF" w:rsidTr="004035FC">
        <w:trPr>
          <w:trHeight w:val="285"/>
        </w:trPr>
        <w:tc>
          <w:tcPr>
            <w:tcW w:w="3276" w:type="dxa"/>
            <w:tcBorders>
              <w:top w:val="nil"/>
              <w:left w:val="nil"/>
              <w:bottom w:val="nil"/>
              <w:right w:val="nil"/>
            </w:tcBorders>
            <w:noWrap/>
            <w:tcMar>
              <w:top w:w="0" w:type="dxa"/>
              <w:left w:w="15" w:type="dxa"/>
              <w:bottom w:w="0" w:type="dxa"/>
              <w:right w:w="15" w:type="dxa"/>
            </w:tcMar>
            <w:vAlign w:val="bottom"/>
          </w:tcPr>
          <w:p w:rsidR="00DD0118" w:rsidRPr="00353FCF" w:rsidRDefault="00DD0118" w:rsidP="004035FC">
            <w:pPr>
              <w:jc w:val="both"/>
              <w:rPr>
                <w:rFonts w:ascii="Verdana" w:hAnsi="Verdana"/>
                <w:noProof/>
                <w:sz w:val="16"/>
                <w:szCs w:val="16"/>
                <w:lang w:val="en-GB"/>
              </w:rPr>
            </w:pPr>
            <w:r w:rsidRPr="00353FCF">
              <w:rPr>
                <w:rFonts w:ascii="Verdana" w:hAnsi="Verdana"/>
                <w:noProof/>
                <w:sz w:val="16"/>
                <w:szCs w:val="16"/>
                <w:lang w:val="en-GB"/>
              </w:rPr>
              <w:t>Sales &amp; marketing expenses</w:t>
            </w:r>
          </w:p>
        </w:tc>
        <w:tc>
          <w:tcPr>
            <w:tcW w:w="1807" w:type="dxa"/>
            <w:tcBorders>
              <w:top w:val="nil"/>
              <w:left w:val="nil"/>
              <w:bottom w:val="nil"/>
              <w:right w:val="nil"/>
            </w:tcBorders>
            <w:noWrap/>
            <w:tcMar>
              <w:top w:w="0" w:type="dxa"/>
              <w:left w:w="15" w:type="dxa"/>
              <w:bottom w:w="0" w:type="dxa"/>
              <w:right w:w="15" w:type="dxa"/>
            </w:tcMar>
            <w:vAlign w:val="bottom"/>
          </w:tcPr>
          <w:p w:rsidR="00DD0118" w:rsidRPr="00D8068C" w:rsidRDefault="00DD0118" w:rsidP="00DD0118">
            <w:pPr>
              <w:jc w:val="right"/>
              <w:rPr>
                <w:rFonts w:ascii="Verdana" w:hAnsi="Verdana"/>
                <w:noProof/>
                <w:sz w:val="16"/>
                <w:szCs w:val="16"/>
              </w:rPr>
            </w:pPr>
            <w:r w:rsidRPr="00D8068C">
              <w:rPr>
                <w:rFonts w:ascii="Verdana" w:hAnsi="Verdana"/>
                <w:noProof/>
                <w:sz w:val="16"/>
                <w:szCs w:val="16"/>
              </w:rPr>
              <w:t>13</w:t>
            </w:r>
            <w:r>
              <w:rPr>
                <w:rFonts w:ascii="Verdana" w:hAnsi="Verdana"/>
                <w:noProof/>
                <w:sz w:val="16"/>
                <w:szCs w:val="16"/>
              </w:rPr>
              <w:t>.</w:t>
            </w:r>
            <w:r w:rsidRPr="00D8068C">
              <w:rPr>
                <w:rFonts w:ascii="Verdana" w:hAnsi="Verdana"/>
                <w:noProof/>
                <w:sz w:val="16"/>
                <w:szCs w:val="16"/>
              </w:rPr>
              <w:t>3%</w:t>
            </w:r>
          </w:p>
        </w:tc>
        <w:tc>
          <w:tcPr>
            <w:tcW w:w="1453" w:type="dxa"/>
            <w:gridSpan w:val="2"/>
            <w:tcBorders>
              <w:top w:val="nil"/>
              <w:left w:val="nil"/>
              <w:bottom w:val="nil"/>
              <w:right w:val="nil"/>
            </w:tcBorders>
            <w:noWrap/>
            <w:tcMar>
              <w:top w:w="0" w:type="dxa"/>
              <w:left w:w="15" w:type="dxa"/>
              <w:bottom w:w="0" w:type="dxa"/>
              <w:right w:w="15" w:type="dxa"/>
            </w:tcMar>
            <w:vAlign w:val="bottom"/>
          </w:tcPr>
          <w:p w:rsidR="00DD0118" w:rsidRPr="00D8068C" w:rsidRDefault="00DD0118" w:rsidP="00DD0118">
            <w:pPr>
              <w:jc w:val="right"/>
              <w:rPr>
                <w:rFonts w:ascii="Verdana" w:hAnsi="Verdana"/>
                <w:noProof/>
                <w:sz w:val="16"/>
                <w:szCs w:val="16"/>
              </w:rPr>
            </w:pPr>
            <w:r w:rsidRPr="00D8068C">
              <w:rPr>
                <w:rFonts w:ascii="Verdana" w:hAnsi="Verdana"/>
                <w:noProof/>
                <w:sz w:val="16"/>
                <w:szCs w:val="16"/>
              </w:rPr>
              <w:t>15</w:t>
            </w:r>
            <w:r>
              <w:rPr>
                <w:rFonts w:ascii="Verdana" w:hAnsi="Verdana"/>
                <w:noProof/>
                <w:sz w:val="16"/>
                <w:szCs w:val="16"/>
              </w:rPr>
              <w:t>.</w:t>
            </w:r>
            <w:r w:rsidRPr="00D8068C">
              <w:rPr>
                <w:rFonts w:ascii="Verdana" w:hAnsi="Verdana"/>
                <w:noProof/>
                <w:sz w:val="16"/>
                <w:szCs w:val="16"/>
              </w:rPr>
              <w:t>5%</w:t>
            </w:r>
          </w:p>
        </w:tc>
      </w:tr>
      <w:tr w:rsidR="00DD0118" w:rsidRPr="00353FCF" w:rsidTr="004035FC">
        <w:trPr>
          <w:trHeight w:val="285"/>
        </w:trPr>
        <w:tc>
          <w:tcPr>
            <w:tcW w:w="3276" w:type="dxa"/>
            <w:tcBorders>
              <w:top w:val="nil"/>
              <w:left w:val="nil"/>
              <w:bottom w:val="nil"/>
              <w:right w:val="nil"/>
            </w:tcBorders>
            <w:noWrap/>
            <w:tcMar>
              <w:top w:w="0" w:type="dxa"/>
              <w:left w:w="15" w:type="dxa"/>
              <w:bottom w:w="0" w:type="dxa"/>
              <w:right w:w="15" w:type="dxa"/>
            </w:tcMar>
            <w:vAlign w:val="bottom"/>
          </w:tcPr>
          <w:p w:rsidR="00DD0118" w:rsidRPr="00353FCF" w:rsidRDefault="00DD0118" w:rsidP="004035FC">
            <w:pPr>
              <w:jc w:val="both"/>
              <w:rPr>
                <w:rFonts w:ascii="Verdana" w:hAnsi="Verdana"/>
                <w:noProof/>
                <w:sz w:val="16"/>
                <w:szCs w:val="16"/>
                <w:lang w:val="en-GB"/>
              </w:rPr>
            </w:pPr>
            <w:r w:rsidRPr="00353FCF">
              <w:rPr>
                <w:rFonts w:ascii="Verdana" w:hAnsi="Verdana"/>
                <w:noProof/>
                <w:sz w:val="16"/>
                <w:szCs w:val="16"/>
                <w:lang w:val="en-GB"/>
              </w:rPr>
              <w:t>Development expenses charged</w:t>
            </w:r>
          </w:p>
        </w:tc>
        <w:tc>
          <w:tcPr>
            <w:tcW w:w="1807" w:type="dxa"/>
            <w:tcBorders>
              <w:top w:val="nil"/>
              <w:left w:val="nil"/>
              <w:bottom w:val="nil"/>
              <w:right w:val="nil"/>
            </w:tcBorders>
            <w:noWrap/>
            <w:tcMar>
              <w:top w:w="0" w:type="dxa"/>
              <w:left w:w="15" w:type="dxa"/>
              <w:bottom w:w="0" w:type="dxa"/>
              <w:right w:w="15" w:type="dxa"/>
            </w:tcMar>
            <w:vAlign w:val="bottom"/>
          </w:tcPr>
          <w:p w:rsidR="00DD0118" w:rsidRPr="00D8068C" w:rsidRDefault="00DD0118" w:rsidP="00DD0118">
            <w:pPr>
              <w:jc w:val="right"/>
              <w:rPr>
                <w:rFonts w:ascii="Verdana" w:hAnsi="Verdana"/>
                <w:noProof/>
                <w:sz w:val="16"/>
                <w:szCs w:val="16"/>
              </w:rPr>
            </w:pPr>
            <w:r w:rsidRPr="00D8068C">
              <w:rPr>
                <w:rFonts w:ascii="Verdana" w:hAnsi="Verdana"/>
                <w:noProof/>
                <w:sz w:val="16"/>
                <w:szCs w:val="16"/>
              </w:rPr>
              <w:t>5</w:t>
            </w:r>
            <w:r>
              <w:rPr>
                <w:rFonts w:ascii="Verdana" w:hAnsi="Verdana"/>
                <w:noProof/>
                <w:sz w:val="16"/>
                <w:szCs w:val="16"/>
              </w:rPr>
              <w:t>.</w:t>
            </w:r>
            <w:r w:rsidRPr="00D8068C">
              <w:rPr>
                <w:rFonts w:ascii="Verdana" w:hAnsi="Verdana"/>
                <w:noProof/>
                <w:sz w:val="16"/>
                <w:szCs w:val="16"/>
              </w:rPr>
              <w:t>1%</w:t>
            </w:r>
          </w:p>
        </w:tc>
        <w:tc>
          <w:tcPr>
            <w:tcW w:w="1453" w:type="dxa"/>
            <w:gridSpan w:val="2"/>
            <w:tcBorders>
              <w:top w:val="nil"/>
              <w:left w:val="nil"/>
              <w:bottom w:val="nil"/>
              <w:right w:val="nil"/>
            </w:tcBorders>
            <w:noWrap/>
            <w:tcMar>
              <w:top w:w="0" w:type="dxa"/>
              <w:left w:w="15" w:type="dxa"/>
              <w:bottom w:w="0" w:type="dxa"/>
              <w:right w:w="15" w:type="dxa"/>
            </w:tcMar>
            <w:vAlign w:val="bottom"/>
          </w:tcPr>
          <w:p w:rsidR="00DD0118" w:rsidRPr="00D8068C" w:rsidRDefault="00DD0118" w:rsidP="00DD0118">
            <w:pPr>
              <w:jc w:val="right"/>
              <w:rPr>
                <w:rFonts w:ascii="Verdana" w:hAnsi="Verdana"/>
                <w:noProof/>
                <w:sz w:val="16"/>
                <w:szCs w:val="16"/>
              </w:rPr>
            </w:pPr>
            <w:r w:rsidRPr="00D8068C">
              <w:rPr>
                <w:rFonts w:ascii="Verdana" w:hAnsi="Verdana"/>
                <w:noProof/>
                <w:sz w:val="16"/>
                <w:szCs w:val="16"/>
              </w:rPr>
              <w:t>5</w:t>
            </w:r>
            <w:r>
              <w:rPr>
                <w:rFonts w:ascii="Verdana" w:hAnsi="Verdana"/>
                <w:noProof/>
                <w:sz w:val="16"/>
                <w:szCs w:val="16"/>
              </w:rPr>
              <w:t>.</w:t>
            </w:r>
            <w:r w:rsidRPr="00D8068C">
              <w:rPr>
                <w:rFonts w:ascii="Verdana" w:hAnsi="Verdana"/>
                <w:noProof/>
                <w:sz w:val="16"/>
                <w:szCs w:val="16"/>
              </w:rPr>
              <w:t>0%</w:t>
            </w:r>
          </w:p>
        </w:tc>
      </w:tr>
      <w:tr w:rsidR="00DD0118" w:rsidRPr="00353FCF" w:rsidTr="004035FC">
        <w:trPr>
          <w:trHeight w:val="285"/>
        </w:trPr>
        <w:tc>
          <w:tcPr>
            <w:tcW w:w="3276" w:type="dxa"/>
            <w:tcBorders>
              <w:top w:val="nil"/>
              <w:left w:val="nil"/>
              <w:bottom w:val="nil"/>
              <w:right w:val="nil"/>
            </w:tcBorders>
            <w:noWrap/>
            <w:tcMar>
              <w:top w:w="0" w:type="dxa"/>
              <w:left w:w="15" w:type="dxa"/>
              <w:bottom w:w="0" w:type="dxa"/>
              <w:right w:w="15" w:type="dxa"/>
            </w:tcMar>
            <w:vAlign w:val="bottom"/>
          </w:tcPr>
          <w:p w:rsidR="00DD0118" w:rsidRPr="00353FCF" w:rsidRDefault="00DD0118" w:rsidP="004035FC">
            <w:pPr>
              <w:jc w:val="both"/>
              <w:rPr>
                <w:rFonts w:ascii="Verdana" w:hAnsi="Verdana"/>
                <w:noProof/>
                <w:sz w:val="16"/>
                <w:szCs w:val="16"/>
                <w:lang w:val="en-GB"/>
              </w:rPr>
            </w:pPr>
            <w:r w:rsidRPr="00353FCF">
              <w:rPr>
                <w:rFonts w:ascii="Verdana" w:hAnsi="Verdana"/>
                <w:noProof/>
                <w:sz w:val="16"/>
                <w:szCs w:val="16"/>
                <w:lang w:val="en-GB"/>
              </w:rPr>
              <w:t>Administrative expenses</w:t>
            </w:r>
          </w:p>
        </w:tc>
        <w:tc>
          <w:tcPr>
            <w:tcW w:w="1807" w:type="dxa"/>
            <w:tcBorders>
              <w:top w:val="nil"/>
              <w:left w:val="nil"/>
              <w:bottom w:val="nil"/>
              <w:right w:val="nil"/>
            </w:tcBorders>
            <w:noWrap/>
            <w:tcMar>
              <w:top w:w="0" w:type="dxa"/>
              <w:left w:w="15" w:type="dxa"/>
              <w:bottom w:w="0" w:type="dxa"/>
              <w:right w:w="15" w:type="dxa"/>
            </w:tcMar>
            <w:vAlign w:val="bottom"/>
          </w:tcPr>
          <w:p w:rsidR="00DD0118" w:rsidRPr="00D8068C" w:rsidRDefault="00DD0118" w:rsidP="00DD0118">
            <w:pPr>
              <w:jc w:val="right"/>
              <w:rPr>
                <w:rFonts w:ascii="Verdana" w:hAnsi="Verdana"/>
                <w:noProof/>
                <w:sz w:val="16"/>
                <w:szCs w:val="16"/>
              </w:rPr>
            </w:pPr>
            <w:r w:rsidRPr="00D8068C">
              <w:rPr>
                <w:rFonts w:ascii="Verdana" w:hAnsi="Verdana"/>
                <w:noProof/>
                <w:sz w:val="16"/>
                <w:szCs w:val="16"/>
              </w:rPr>
              <w:t>11</w:t>
            </w:r>
            <w:r>
              <w:rPr>
                <w:rFonts w:ascii="Verdana" w:hAnsi="Verdana"/>
                <w:noProof/>
                <w:sz w:val="16"/>
                <w:szCs w:val="16"/>
              </w:rPr>
              <w:t>.</w:t>
            </w:r>
            <w:r w:rsidRPr="00D8068C">
              <w:rPr>
                <w:rFonts w:ascii="Verdana" w:hAnsi="Verdana"/>
                <w:noProof/>
                <w:sz w:val="16"/>
                <w:szCs w:val="16"/>
              </w:rPr>
              <w:t>1%</w:t>
            </w:r>
          </w:p>
        </w:tc>
        <w:tc>
          <w:tcPr>
            <w:tcW w:w="1453" w:type="dxa"/>
            <w:gridSpan w:val="2"/>
            <w:tcBorders>
              <w:top w:val="nil"/>
              <w:left w:val="nil"/>
              <w:bottom w:val="nil"/>
              <w:right w:val="nil"/>
            </w:tcBorders>
            <w:noWrap/>
            <w:tcMar>
              <w:top w:w="0" w:type="dxa"/>
              <w:left w:w="15" w:type="dxa"/>
              <w:bottom w:w="0" w:type="dxa"/>
              <w:right w:w="15" w:type="dxa"/>
            </w:tcMar>
            <w:vAlign w:val="bottom"/>
          </w:tcPr>
          <w:p w:rsidR="00DD0118" w:rsidRPr="00D8068C" w:rsidRDefault="00DD0118" w:rsidP="00DD0118">
            <w:pPr>
              <w:jc w:val="right"/>
              <w:rPr>
                <w:rFonts w:ascii="Verdana" w:hAnsi="Verdana"/>
                <w:noProof/>
                <w:sz w:val="16"/>
                <w:szCs w:val="16"/>
              </w:rPr>
            </w:pPr>
            <w:r w:rsidRPr="00D8068C">
              <w:rPr>
                <w:rFonts w:ascii="Verdana" w:hAnsi="Verdana"/>
                <w:noProof/>
                <w:sz w:val="16"/>
                <w:szCs w:val="16"/>
              </w:rPr>
              <w:t>10</w:t>
            </w:r>
            <w:r>
              <w:rPr>
                <w:rFonts w:ascii="Verdana" w:hAnsi="Verdana"/>
                <w:noProof/>
                <w:sz w:val="16"/>
                <w:szCs w:val="16"/>
              </w:rPr>
              <w:t>.</w:t>
            </w:r>
            <w:r w:rsidRPr="00D8068C">
              <w:rPr>
                <w:rFonts w:ascii="Verdana" w:hAnsi="Verdana"/>
                <w:noProof/>
                <w:sz w:val="16"/>
                <w:szCs w:val="16"/>
              </w:rPr>
              <w:t>0%</w:t>
            </w:r>
          </w:p>
        </w:tc>
      </w:tr>
      <w:tr w:rsidR="00DD0118" w:rsidRPr="00353FCF" w:rsidTr="004035FC">
        <w:trPr>
          <w:trHeight w:val="285"/>
        </w:trPr>
        <w:tc>
          <w:tcPr>
            <w:tcW w:w="3276" w:type="dxa"/>
            <w:tcBorders>
              <w:top w:val="nil"/>
              <w:left w:val="nil"/>
              <w:bottom w:val="nil"/>
              <w:right w:val="nil"/>
            </w:tcBorders>
            <w:noWrap/>
            <w:tcMar>
              <w:top w:w="0" w:type="dxa"/>
              <w:left w:w="15" w:type="dxa"/>
              <w:bottom w:w="0" w:type="dxa"/>
              <w:right w:w="15" w:type="dxa"/>
            </w:tcMar>
            <w:vAlign w:val="bottom"/>
          </w:tcPr>
          <w:p w:rsidR="00DD0118" w:rsidRPr="00353FCF" w:rsidRDefault="00DD0118" w:rsidP="004035FC">
            <w:pPr>
              <w:jc w:val="both"/>
              <w:rPr>
                <w:rFonts w:ascii="Verdana" w:hAnsi="Verdana"/>
                <w:noProof/>
                <w:sz w:val="16"/>
                <w:szCs w:val="16"/>
                <w:lang w:val="en-GB"/>
              </w:rPr>
            </w:pPr>
            <w:r w:rsidRPr="00353FCF">
              <w:rPr>
                <w:rFonts w:ascii="Verdana" w:hAnsi="Verdana"/>
                <w:noProof/>
                <w:sz w:val="16"/>
                <w:szCs w:val="16"/>
                <w:lang w:val="en-GB"/>
              </w:rPr>
              <w:t xml:space="preserve">EBITDA </w:t>
            </w:r>
          </w:p>
        </w:tc>
        <w:tc>
          <w:tcPr>
            <w:tcW w:w="1807" w:type="dxa"/>
            <w:tcBorders>
              <w:top w:val="nil"/>
              <w:left w:val="nil"/>
              <w:bottom w:val="nil"/>
              <w:right w:val="nil"/>
            </w:tcBorders>
            <w:noWrap/>
            <w:tcMar>
              <w:top w:w="0" w:type="dxa"/>
              <w:left w:w="15" w:type="dxa"/>
              <w:bottom w:w="0" w:type="dxa"/>
              <w:right w:w="15" w:type="dxa"/>
            </w:tcMar>
            <w:vAlign w:val="bottom"/>
          </w:tcPr>
          <w:p w:rsidR="00DD0118" w:rsidRPr="00D8068C" w:rsidRDefault="00DD0118" w:rsidP="00DD0118">
            <w:pPr>
              <w:jc w:val="right"/>
              <w:rPr>
                <w:rFonts w:ascii="Verdana" w:hAnsi="Verdana"/>
                <w:noProof/>
                <w:sz w:val="16"/>
                <w:szCs w:val="16"/>
              </w:rPr>
            </w:pPr>
            <w:r w:rsidRPr="00D8068C">
              <w:rPr>
                <w:rFonts w:ascii="Verdana" w:hAnsi="Verdana"/>
                <w:noProof/>
                <w:sz w:val="16"/>
                <w:szCs w:val="16"/>
              </w:rPr>
              <w:t>7</w:t>
            </w:r>
            <w:r>
              <w:rPr>
                <w:rFonts w:ascii="Verdana" w:hAnsi="Verdana"/>
                <w:noProof/>
                <w:sz w:val="16"/>
                <w:szCs w:val="16"/>
              </w:rPr>
              <w:t>.</w:t>
            </w:r>
            <w:r w:rsidRPr="00D8068C">
              <w:rPr>
                <w:rFonts w:ascii="Verdana" w:hAnsi="Verdana"/>
                <w:noProof/>
                <w:sz w:val="16"/>
                <w:szCs w:val="16"/>
              </w:rPr>
              <w:t>8%</w:t>
            </w:r>
          </w:p>
        </w:tc>
        <w:tc>
          <w:tcPr>
            <w:tcW w:w="1453" w:type="dxa"/>
            <w:gridSpan w:val="2"/>
            <w:tcBorders>
              <w:top w:val="nil"/>
              <w:left w:val="nil"/>
              <w:bottom w:val="nil"/>
              <w:right w:val="nil"/>
            </w:tcBorders>
            <w:noWrap/>
            <w:tcMar>
              <w:top w:w="0" w:type="dxa"/>
              <w:left w:w="15" w:type="dxa"/>
              <w:bottom w:w="0" w:type="dxa"/>
              <w:right w:w="15" w:type="dxa"/>
            </w:tcMar>
            <w:vAlign w:val="bottom"/>
          </w:tcPr>
          <w:p w:rsidR="00DD0118" w:rsidRPr="00D8068C" w:rsidRDefault="00DD0118" w:rsidP="00DD0118">
            <w:pPr>
              <w:jc w:val="right"/>
              <w:rPr>
                <w:rFonts w:ascii="Verdana" w:hAnsi="Verdana"/>
                <w:noProof/>
                <w:sz w:val="16"/>
                <w:szCs w:val="16"/>
              </w:rPr>
            </w:pPr>
            <w:r w:rsidRPr="00D8068C">
              <w:rPr>
                <w:rFonts w:ascii="Verdana" w:hAnsi="Verdana"/>
                <w:noProof/>
                <w:sz w:val="16"/>
                <w:szCs w:val="16"/>
              </w:rPr>
              <w:t>7</w:t>
            </w:r>
            <w:r>
              <w:rPr>
                <w:rFonts w:ascii="Verdana" w:hAnsi="Verdana"/>
                <w:noProof/>
                <w:sz w:val="16"/>
                <w:szCs w:val="16"/>
              </w:rPr>
              <w:t>.</w:t>
            </w:r>
            <w:r w:rsidRPr="00D8068C">
              <w:rPr>
                <w:rFonts w:ascii="Verdana" w:hAnsi="Verdana"/>
                <w:noProof/>
                <w:sz w:val="16"/>
                <w:szCs w:val="16"/>
              </w:rPr>
              <w:t>2%</w:t>
            </w:r>
          </w:p>
        </w:tc>
      </w:tr>
      <w:tr w:rsidR="00DD0118" w:rsidRPr="00353FCF" w:rsidTr="004035FC">
        <w:trPr>
          <w:trHeight w:val="285"/>
        </w:trPr>
        <w:tc>
          <w:tcPr>
            <w:tcW w:w="3276" w:type="dxa"/>
            <w:tcBorders>
              <w:top w:val="nil"/>
              <w:left w:val="nil"/>
              <w:bottom w:val="nil"/>
              <w:right w:val="nil"/>
            </w:tcBorders>
            <w:noWrap/>
            <w:tcMar>
              <w:top w:w="0" w:type="dxa"/>
              <w:left w:w="15" w:type="dxa"/>
              <w:bottom w:w="0" w:type="dxa"/>
              <w:right w:w="15" w:type="dxa"/>
            </w:tcMar>
            <w:vAlign w:val="bottom"/>
          </w:tcPr>
          <w:p w:rsidR="00DD0118" w:rsidRPr="00353FCF" w:rsidRDefault="00DD0118" w:rsidP="004035FC">
            <w:pPr>
              <w:jc w:val="both"/>
              <w:rPr>
                <w:rFonts w:ascii="Verdana" w:hAnsi="Verdana"/>
                <w:noProof/>
                <w:sz w:val="16"/>
                <w:szCs w:val="16"/>
                <w:lang w:val="en-GB"/>
              </w:rPr>
            </w:pPr>
            <w:r w:rsidRPr="00353FCF">
              <w:rPr>
                <w:rFonts w:ascii="Verdana" w:hAnsi="Verdana"/>
                <w:noProof/>
                <w:sz w:val="16"/>
                <w:szCs w:val="16"/>
                <w:lang w:val="en-GB"/>
              </w:rPr>
              <w:t xml:space="preserve">EBIT </w:t>
            </w:r>
          </w:p>
        </w:tc>
        <w:tc>
          <w:tcPr>
            <w:tcW w:w="1807" w:type="dxa"/>
            <w:tcBorders>
              <w:top w:val="nil"/>
              <w:left w:val="nil"/>
              <w:bottom w:val="nil"/>
              <w:right w:val="nil"/>
            </w:tcBorders>
            <w:noWrap/>
            <w:tcMar>
              <w:top w:w="0" w:type="dxa"/>
              <w:left w:w="15" w:type="dxa"/>
              <w:bottom w:w="0" w:type="dxa"/>
              <w:right w:w="15" w:type="dxa"/>
            </w:tcMar>
            <w:vAlign w:val="bottom"/>
          </w:tcPr>
          <w:p w:rsidR="00DD0118" w:rsidRPr="00D8068C" w:rsidRDefault="00DD0118" w:rsidP="00DD0118">
            <w:pPr>
              <w:jc w:val="right"/>
              <w:rPr>
                <w:rFonts w:ascii="Verdana" w:hAnsi="Verdana"/>
                <w:noProof/>
                <w:sz w:val="16"/>
                <w:szCs w:val="16"/>
              </w:rPr>
            </w:pPr>
            <w:r w:rsidRPr="00D8068C">
              <w:rPr>
                <w:rFonts w:ascii="Verdana" w:hAnsi="Verdana"/>
                <w:noProof/>
                <w:sz w:val="16"/>
                <w:szCs w:val="16"/>
              </w:rPr>
              <w:t>3</w:t>
            </w:r>
            <w:r>
              <w:rPr>
                <w:rFonts w:ascii="Verdana" w:hAnsi="Verdana"/>
                <w:noProof/>
                <w:sz w:val="16"/>
                <w:szCs w:val="16"/>
              </w:rPr>
              <w:t>.</w:t>
            </w:r>
            <w:r w:rsidRPr="00D8068C">
              <w:rPr>
                <w:rFonts w:ascii="Verdana" w:hAnsi="Verdana"/>
                <w:noProof/>
                <w:sz w:val="16"/>
                <w:szCs w:val="16"/>
              </w:rPr>
              <w:t>8%</w:t>
            </w:r>
          </w:p>
        </w:tc>
        <w:tc>
          <w:tcPr>
            <w:tcW w:w="1453" w:type="dxa"/>
            <w:gridSpan w:val="2"/>
            <w:tcBorders>
              <w:top w:val="nil"/>
              <w:left w:val="nil"/>
              <w:bottom w:val="nil"/>
              <w:right w:val="nil"/>
            </w:tcBorders>
            <w:noWrap/>
            <w:tcMar>
              <w:top w:w="0" w:type="dxa"/>
              <w:left w:w="15" w:type="dxa"/>
              <w:bottom w:w="0" w:type="dxa"/>
              <w:right w:w="15" w:type="dxa"/>
            </w:tcMar>
            <w:vAlign w:val="bottom"/>
          </w:tcPr>
          <w:p w:rsidR="00DD0118" w:rsidRPr="00D8068C" w:rsidRDefault="00DD0118" w:rsidP="00DD0118">
            <w:pPr>
              <w:jc w:val="right"/>
              <w:rPr>
                <w:rFonts w:ascii="Verdana" w:hAnsi="Verdana"/>
                <w:noProof/>
                <w:sz w:val="16"/>
                <w:szCs w:val="16"/>
              </w:rPr>
            </w:pPr>
            <w:r w:rsidRPr="00D8068C">
              <w:rPr>
                <w:rFonts w:ascii="Verdana" w:hAnsi="Verdana"/>
                <w:noProof/>
                <w:sz w:val="16"/>
                <w:szCs w:val="16"/>
              </w:rPr>
              <w:t>3</w:t>
            </w:r>
            <w:r>
              <w:rPr>
                <w:rFonts w:ascii="Verdana" w:hAnsi="Verdana"/>
                <w:noProof/>
                <w:sz w:val="16"/>
                <w:szCs w:val="16"/>
              </w:rPr>
              <w:t>.</w:t>
            </w:r>
            <w:r w:rsidRPr="00D8068C">
              <w:rPr>
                <w:rFonts w:ascii="Verdana" w:hAnsi="Verdana"/>
                <w:noProof/>
                <w:sz w:val="16"/>
                <w:szCs w:val="16"/>
              </w:rPr>
              <w:t>5%</w:t>
            </w:r>
          </w:p>
        </w:tc>
      </w:tr>
      <w:tr w:rsidR="00DD0118" w:rsidRPr="00353FCF" w:rsidTr="004035FC">
        <w:trPr>
          <w:trHeight w:val="285"/>
        </w:trPr>
        <w:tc>
          <w:tcPr>
            <w:tcW w:w="3276" w:type="dxa"/>
            <w:tcBorders>
              <w:top w:val="nil"/>
              <w:left w:val="nil"/>
              <w:bottom w:val="nil"/>
              <w:right w:val="nil"/>
            </w:tcBorders>
            <w:noWrap/>
            <w:tcMar>
              <w:top w:w="15" w:type="dxa"/>
              <w:left w:w="15" w:type="dxa"/>
              <w:bottom w:w="0" w:type="dxa"/>
              <w:right w:w="15" w:type="dxa"/>
            </w:tcMar>
            <w:vAlign w:val="bottom"/>
          </w:tcPr>
          <w:p w:rsidR="00DD0118" w:rsidRPr="00353FCF" w:rsidRDefault="00DD0118" w:rsidP="004035FC">
            <w:pPr>
              <w:jc w:val="both"/>
              <w:rPr>
                <w:rFonts w:ascii="Verdana" w:hAnsi="Verdana"/>
                <w:noProof/>
                <w:sz w:val="16"/>
                <w:szCs w:val="16"/>
                <w:lang w:val="en-GB"/>
              </w:rPr>
            </w:pPr>
            <w:r w:rsidRPr="00353FCF">
              <w:rPr>
                <w:rFonts w:ascii="Verdana" w:hAnsi="Verdana"/>
                <w:noProof/>
                <w:sz w:val="16"/>
                <w:szCs w:val="16"/>
                <w:lang w:val="en-GB"/>
              </w:rPr>
              <w:t>Profit for period</w:t>
            </w:r>
          </w:p>
        </w:tc>
        <w:tc>
          <w:tcPr>
            <w:tcW w:w="1807" w:type="dxa"/>
            <w:tcBorders>
              <w:top w:val="nil"/>
              <w:left w:val="nil"/>
              <w:bottom w:val="nil"/>
              <w:right w:val="nil"/>
            </w:tcBorders>
            <w:noWrap/>
            <w:tcMar>
              <w:top w:w="15" w:type="dxa"/>
              <w:left w:w="15" w:type="dxa"/>
              <w:bottom w:w="0" w:type="dxa"/>
              <w:right w:w="15" w:type="dxa"/>
            </w:tcMar>
            <w:vAlign w:val="bottom"/>
          </w:tcPr>
          <w:p w:rsidR="00DD0118" w:rsidRPr="00D8068C" w:rsidRDefault="00DD0118" w:rsidP="00DD0118">
            <w:pPr>
              <w:jc w:val="right"/>
              <w:rPr>
                <w:rFonts w:ascii="Verdana" w:hAnsi="Verdana"/>
                <w:noProof/>
                <w:sz w:val="16"/>
                <w:szCs w:val="16"/>
              </w:rPr>
            </w:pPr>
            <w:r w:rsidRPr="00D8068C">
              <w:rPr>
                <w:rFonts w:ascii="Verdana" w:hAnsi="Verdana"/>
                <w:noProof/>
                <w:sz w:val="16"/>
                <w:szCs w:val="16"/>
              </w:rPr>
              <w:t>(1</w:t>
            </w:r>
            <w:r>
              <w:rPr>
                <w:rFonts w:ascii="Verdana" w:hAnsi="Verdana"/>
                <w:noProof/>
                <w:sz w:val="16"/>
                <w:szCs w:val="16"/>
              </w:rPr>
              <w:t>.</w:t>
            </w:r>
            <w:r w:rsidRPr="00D8068C">
              <w:rPr>
                <w:rFonts w:ascii="Verdana" w:hAnsi="Verdana"/>
                <w:noProof/>
                <w:sz w:val="16"/>
                <w:szCs w:val="16"/>
              </w:rPr>
              <w:t>6%)</w:t>
            </w:r>
          </w:p>
        </w:tc>
        <w:tc>
          <w:tcPr>
            <w:tcW w:w="1453" w:type="dxa"/>
            <w:gridSpan w:val="2"/>
            <w:tcBorders>
              <w:top w:val="nil"/>
              <w:left w:val="nil"/>
              <w:bottom w:val="nil"/>
              <w:right w:val="nil"/>
            </w:tcBorders>
            <w:noWrap/>
            <w:tcMar>
              <w:top w:w="15" w:type="dxa"/>
              <w:left w:w="15" w:type="dxa"/>
              <w:bottom w:w="0" w:type="dxa"/>
              <w:right w:w="15" w:type="dxa"/>
            </w:tcMar>
            <w:vAlign w:val="bottom"/>
          </w:tcPr>
          <w:p w:rsidR="00DD0118" w:rsidRPr="00D8068C" w:rsidRDefault="00DD0118" w:rsidP="00DD0118">
            <w:pPr>
              <w:jc w:val="right"/>
              <w:rPr>
                <w:rFonts w:ascii="Verdana" w:hAnsi="Verdana"/>
                <w:noProof/>
                <w:sz w:val="16"/>
                <w:szCs w:val="16"/>
              </w:rPr>
            </w:pPr>
            <w:r w:rsidRPr="00D8068C">
              <w:rPr>
                <w:rFonts w:ascii="Verdana" w:hAnsi="Verdana"/>
                <w:noProof/>
                <w:sz w:val="16"/>
                <w:szCs w:val="16"/>
              </w:rPr>
              <w:t>2</w:t>
            </w:r>
            <w:r>
              <w:rPr>
                <w:rFonts w:ascii="Verdana" w:hAnsi="Verdana"/>
                <w:noProof/>
                <w:sz w:val="16"/>
                <w:szCs w:val="16"/>
              </w:rPr>
              <w:t>.</w:t>
            </w:r>
            <w:r w:rsidRPr="00D8068C">
              <w:rPr>
                <w:rFonts w:ascii="Verdana" w:hAnsi="Verdana"/>
                <w:noProof/>
                <w:sz w:val="16"/>
                <w:szCs w:val="16"/>
              </w:rPr>
              <w:t>1%</w:t>
            </w:r>
          </w:p>
        </w:tc>
      </w:tr>
      <w:tr w:rsidR="00FD088F" w:rsidRPr="00353FCF" w:rsidTr="004035FC">
        <w:trPr>
          <w:trHeight w:val="285"/>
        </w:trPr>
        <w:tc>
          <w:tcPr>
            <w:tcW w:w="3276" w:type="dxa"/>
            <w:tcBorders>
              <w:top w:val="nil"/>
              <w:left w:val="nil"/>
              <w:bottom w:val="nil"/>
              <w:right w:val="nil"/>
            </w:tcBorders>
            <w:noWrap/>
            <w:tcMar>
              <w:top w:w="15" w:type="dxa"/>
              <w:left w:w="15" w:type="dxa"/>
              <w:bottom w:w="0" w:type="dxa"/>
              <w:right w:w="15" w:type="dxa"/>
            </w:tcMar>
            <w:vAlign w:val="bottom"/>
          </w:tcPr>
          <w:p w:rsidR="00FD088F" w:rsidRDefault="00FD088F" w:rsidP="004035FC">
            <w:pPr>
              <w:jc w:val="both"/>
              <w:rPr>
                <w:rFonts w:ascii="Verdana" w:hAnsi="Verdana"/>
                <w:noProof/>
                <w:sz w:val="16"/>
                <w:szCs w:val="16"/>
                <w:highlight w:val="yellow"/>
                <w:lang w:val="en-GB"/>
              </w:rPr>
            </w:pPr>
          </w:p>
          <w:p w:rsidR="004E6E59" w:rsidRPr="00353FCF" w:rsidRDefault="004E6E59" w:rsidP="004035FC">
            <w:pPr>
              <w:jc w:val="both"/>
              <w:rPr>
                <w:rFonts w:ascii="Verdana" w:hAnsi="Verdana"/>
                <w:noProof/>
                <w:sz w:val="16"/>
                <w:szCs w:val="16"/>
                <w:highlight w:val="yellow"/>
                <w:lang w:val="en-GB"/>
              </w:rPr>
            </w:pPr>
          </w:p>
        </w:tc>
        <w:tc>
          <w:tcPr>
            <w:tcW w:w="1842" w:type="dxa"/>
            <w:gridSpan w:val="2"/>
            <w:tcBorders>
              <w:top w:val="nil"/>
              <w:left w:val="nil"/>
              <w:bottom w:val="nil"/>
              <w:right w:val="nil"/>
            </w:tcBorders>
            <w:noWrap/>
            <w:tcMar>
              <w:top w:w="15" w:type="dxa"/>
              <w:left w:w="15" w:type="dxa"/>
              <w:bottom w:w="0" w:type="dxa"/>
              <w:right w:w="15" w:type="dxa"/>
            </w:tcMar>
            <w:vAlign w:val="bottom"/>
          </w:tcPr>
          <w:p w:rsidR="00FD088F" w:rsidRPr="00353FCF" w:rsidRDefault="00FD088F" w:rsidP="00FD088F">
            <w:pPr>
              <w:jc w:val="right"/>
              <w:rPr>
                <w:rFonts w:ascii="Verdana" w:hAnsi="Verdana"/>
                <w:noProof/>
                <w:sz w:val="16"/>
                <w:szCs w:val="16"/>
                <w:highlight w:val="yellow"/>
                <w:lang w:val="en-GB"/>
              </w:rPr>
            </w:pPr>
          </w:p>
        </w:tc>
        <w:tc>
          <w:tcPr>
            <w:tcW w:w="1418" w:type="dxa"/>
            <w:tcBorders>
              <w:top w:val="nil"/>
              <w:left w:val="nil"/>
              <w:bottom w:val="nil"/>
              <w:right w:val="nil"/>
            </w:tcBorders>
            <w:noWrap/>
            <w:tcMar>
              <w:top w:w="15" w:type="dxa"/>
              <w:left w:w="15" w:type="dxa"/>
              <w:bottom w:w="0" w:type="dxa"/>
              <w:right w:w="15" w:type="dxa"/>
            </w:tcMar>
            <w:vAlign w:val="bottom"/>
          </w:tcPr>
          <w:p w:rsidR="00FD088F" w:rsidRPr="00353FCF" w:rsidRDefault="00FD088F" w:rsidP="00FD088F">
            <w:pPr>
              <w:jc w:val="right"/>
              <w:rPr>
                <w:rFonts w:ascii="Verdana" w:hAnsi="Verdana"/>
                <w:noProof/>
                <w:sz w:val="16"/>
                <w:szCs w:val="16"/>
                <w:highlight w:val="yellow"/>
                <w:lang w:val="en-GB"/>
              </w:rPr>
            </w:pPr>
          </w:p>
        </w:tc>
      </w:tr>
      <w:tr w:rsidR="00FD088F" w:rsidRPr="00353FCF" w:rsidTr="004035FC">
        <w:trPr>
          <w:trHeight w:val="255"/>
        </w:trPr>
        <w:tc>
          <w:tcPr>
            <w:tcW w:w="3276" w:type="dxa"/>
            <w:tcBorders>
              <w:top w:val="nil"/>
              <w:left w:val="nil"/>
              <w:bottom w:val="nil"/>
              <w:right w:val="nil"/>
            </w:tcBorders>
            <w:shd w:val="clear" w:color="auto" w:fill="C0C0C0"/>
            <w:noWrap/>
            <w:tcMar>
              <w:top w:w="0" w:type="dxa"/>
              <w:left w:w="15" w:type="dxa"/>
              <w:bottom w:w="0" w:type="dxa"/>
              <w:right w:w="15" w:type="dxa"/>
            </w:tcMar>
            <w:vAlign w:val="bottom"/>
          </w:tcPr>
          <w:p w:rsidR="00FD088F" w:rsidRPr="00353FCF" w:rsidRDefault="00FD088F" w:rsidP="004035FC">
            <w:pPr>
              <w:jc w:val="both"/>
              <w:rPr>
                <w:rFonts w:ascii="Verdana" w:hAnsi="Verdana"/>
                <w:b/>
                <w:noProof/>
                <w:sz w:val="16"/>
                <w:szCs w:val="16"/>
                <w:lang w:val="en-GB"/>
              </w:rPr>
            </w:pPr>
            <w:r w:rsidRPr="00353FCF">
              <w:rPr>
                <w:rFonts w:ascii="Verdana" w:hAnsi="Verdana"/>
                <w:b/>
                <w:noProof/>
                <w:sz w:val="16"/>
                <w:szCs w:val="16"/>
                <w:lang w:val="en-GB"/>
              </w:rPr>
              <w:t xml:space="preserve">Financial position at end of period </w:t>
            </w:r>
          </w:p>
        </w:tc>
        <w:tc>
          <w:tcPr>
            <w:tcW w:w="1842" w:type="dxa"/>
            <w:gridSpan w:val="2"/>
            <w:tcBorders>
              <w:top w:val="nil"/>
              <w:left w:val="nil"/>
              <w:bottom w:val="nil"/>
              <w:right w:val="nil"/>
            </w:tcBorders>
            <w:shd w:val="clear" w:color="auto" w:fill="C0C0C0"/>
            <w:noWrap/>
            <w:tcMar>
              <w:top w:w="0" w:type="dxa"/>
              <w:left w:w="15" w:type="dxa"/>
              <w:bottom w:w="0" w:type="dxa"/>
              <w:right w:w="15" w:type="dxa"/>
            </w:tcMar>
            <w:vAlign w:val="bottom"/>
          </w:tcPr>
          <w:p w:rsidR="00FD088F" w:rsidRPr="00353FCF" w:rsidRDefault="00FD088F" w:rsidP="00FD088F">
            <w:pPr>
              <w:jc w:val="right"/>
              <w:rPr>
                <w:rFonts w:ascii="Verdana" w:hAnsi="Verdana"/>
                <w:b/>
                <w:noProof/>
                <w:sz w:val="16"/>
                <w:szCs w:val="16"/>
                <w:lang w:val="en-GB"/>
              </w:rPr>
            </w:pPr>
            <w:r w:rsidRPr="00353FCF">
              <w:rPr>
                <w:rFonts w:ascii="Verdana" w:hAnsi="Verdana"/>
                <w:b/>
                <w:noProof/>
                <w:sz w:val="16"/>
                <w:szCs w:val="16"/>
                <w:lang w:val="en-GB"/>
              </w:rPr>
              <w:t>31.12.08</w:t>
            </w:r>
          </w:p>
        </w:tc>
        <w:tc>
          <w:tcPr>
            <w:tcW w:w="1418" w:type="dxa"/>
            <w:tcBorders>
              <w:top w:val="nil"/>
              <w:left w:val="nil"/>
              <w:bottom w:val="nil"/>
              <w:right w:val="nil"/>
            </w:tcBorders>
            <w:shd w:val="clear" w:color="auto" w:fill="C0C0C0"/>
            <w:noWrap/>
            <w:tcMar>
              <w:top w:w="0" w:type="dxa"/>
              <w:left w:w="15" w:type="dxa"/>
              <w:bottom w:w="0" w:type="dxa"/>
              <w:right w:w="15" w:type="dxa"/>
            </w:tcMar>
            <w:vAlign w:val="bottom"/>
          </w:tcPr>
          <w:p w:rsidR="00FD088F" w:rsidRPr="00353FCF" w:rsidRDefault="00FD088F" w:rsidP="00FD088F">
            <w:pPr>
              <w:jc w:val="right"/>
              <w:rPr>
                <w:rFonts w:ascii="Verdana" w:hAnsi="Verdana"/>
                <w:b/>
                <w:noProof/>
                <w:sz w:val="16"/>
                <w:szCs w:val="16"/>
                <w:lang w:val="en-GB"/>
              </w:rPr>
            </w:pPr>
            <w:r w:rsidRPr="00353FCF">
              <w:rPr>
                <w:rFonts w:ascii="Verdana" w:hAnsi="Verdana"/>
                <w:b/>
                <w:noProof/>
                <w:sz w:val="16"/>
                <w:szCs w:val="16"/>
                <w:lang w:val="en-GB"/>
              </w:rPr>
              <w:t>31.12.07</w:t>
            </w:r>
          </w:p>
        </w:tc>
      </w:tr>
      <w:tr w:rsidR="00DD0118" w:rsidRPr="00353FCF" w:rsidTr="004035FC">
        <w:trPr>
          <w:trHeight w:val="255"/>
        </w:trPr>
        <w:tc>
          <w:tcPr>
            <w:tcW w:w="3276" w:type="dxa"/>
            <w:tcBorders>
              <w:top w:val="nil"/>
              <w:left w:val="nil"/>
              <w:bottom w:val="nil"/>
              <w:right w:val="nil"/>
            </w:tcBorders>
            <w:noWrap/>
            <w:tcMar>
              <w:top w:w="0" w:type="dxa"/>
              <w:left w:w="15" w:type="dxa"/>
              <w:bottom w:w="0" w:type="dxa"/>
              <w:right w:w="15" w:type="dxa"/>
            </w:tcMar>
            <w:vAlign w:val="bottom"/>
          </w:tcPr>
          <w:p w:rsidR="00DD0118" w:rsidRPr="00353FCF" w:rsidRDefault="00DD0118" w:rsidP="004035FC">
            <w:pPr>
              <w:jc w:val="both"/>
              <w:rPr>
                <w:rFonts w:ascii="Verdana" w:hAnsi="Verdana"/>
                <w:noProof/>
                <w:sz w:val="16"/>
                <w:szCs w:val="16"/>
                <w:lang w:val="en-GB"/>
              </w:rPr>
            </w:pPr>
            <w:r w:rsidRPr="00353FCF">
              <w:rPr>
                <w:rFonts w:ascii="Verdana" w:hAnsi="Verdana"/>
                <w:noProof/>
                <w:sz w:val="16"/>
                <w:szCs w:val="16"/>
                <w:lang w:val="en-GB"/>
              </w:rPr>
              <w:t xml:space="preserve">Total assets </w:t>
            </w:r>
          </w:p>
        </w:tc>
        <w:tc>
          <w:tcPr>
            <w:tcW w:w="1842" w:type="dxa"/>
            <w:gridSpan w:val="2"/>
            <w:tcBorders>
              <w:top w:val="nil"/>
              <w:left w:val="nil"/>
              <w:bottom w:val="nil"/>
              <w:right w:val="nil"/>
            </w:tcBorders>
            <w:noWrap/>
            <w:tcMar>
              <w:top w:w="0" w:type="dxa"/>
              <w:left w:w="15" w:type="dxa"/>
              <w:bottom w:w="0" w:type="dxa"/>
              <w:right w:w="15" w:type="dxa"/>
            </w:tcMar>
            <w:vAlign w:val="bottom"/>
          </w:tcPr>
          <w:p w:rsidR="00DD0118" w:rsidRPr="00D8068C" w:rsidRDefault="00DD0118" w:rsidP="00726CCE">
            <w:pPr>
              <w:jc w:val="right"/>
              <w:rPr>
                <w:rFonts w:ascii="Verdana" w:hAnsi="Verdana"/>
                <w:noProof/>
                <w:sz w:val="16"/>
                <w:szCs w:val="16"/>
              </w:rPr>
            </w:pPr>
            <w:r>
              <w:rPr>
                <w:rFonts w:ascii="Verdana" w:hAnsi="Verdana"/>
                <w:noProof/>
                <w:sz w:val="16"/>
                <w:szCs w:val="16"/>
              </w:rPr>
              <w:t>923,</w:t>
            </w:r>
            <w:r w:rsidR="00726CCE">
              <w:rPr>
                <w:rFonts w:ascii="Verdana" w:hAnsi="Verdana"/>
                <w:noProof/>
                <w:sz w:val="16"/>
                <w:szCs w:val="16"/>
              </w:rPr>
              <w:t>712</w:t>
            </w:r>
          </w:p>
        </w:tc>
        <w:tc>
          <w:tcPr>
            <w:tcW w:w="1418" w:type="dxa"/>
            <w:tcBorders>
              <w:top w:val="nil"/>
              <w:left w:val="nil"/>
              <w:bottom w:val="nil"/>
              <w:right w:val="nil"/>
            </w:tcBorders>
            <w:noWrap/>
            <w:tcMar>
              <w:top w:w="0" w:type="dxa"/>
              <w:left w:w="15" w:type="dxa"/>
              <w:bottom w:w="0" w:type="dxa"/>
              <w:right w:w="15" w:type="dxa"/>
            </w:tcMar>
            <w:vAlign w:val="bottom"/>
          </w:tcPr>
          <w:p w:rsidR="00DD0118" w:rsidRPr="00A46727" w:rsidRDefault="00DD0118" w:rsidP="00DD0118">
            <w:pPr>
              <w:jc w:val="right"/>
              <w:rPr>
                <w:rFonts w:ascii="Verdana" w:hAnsi="Verdana"/>
                <w:noProof/>
                <w:sz w:val="16"/>
                <w:szCs w:val="16"/>
              </w:rPr>
            </w:pPr>
            <w:r w:rsidRPr="00A46727">
              <w:rPr>
                <w:rFonts w:ascii="Verdana" w:hAnsi="Verdana"/>
                <w:noProof/>
                <w:sz w:val="16"/>
                <w:szCs w:val="16"/>
              </w:rPr>
              <w:t>427</w:t>
            </w:r>
            <w:r>
              <w:rPr>
                <w:rFonts w:ascii="Verdana" w:hAnsi="Verdana"/>
                <w:noProof/>
                <w:sz w:val="16"/>
                <w:szCs w:val="16"/>
              </w:rPr>
              <w:t>,</w:t>
            </w:r>
            <w:r w:rsidRPr="00A46727">
              <w:rPr>
                <w:rFonts w:ascii="Verdana" w:hAnsi="Verdana"/>
                <w:noProof/>
                <w:sz w:val="16"/>
                <w:szCs w:val="16"/>
              </w:rPr>
              <w:t>304</w:t>
            </w:r>
          </w:p>
        </w:tc>
      </w:tr>
      <w:tr w:rsidR="00DD0118" w:rsidRPr="00353FCF" w:rsidTr="004035FC">
        <w:trPr>
          <w:trHeight w:val="255"/>
        </w:trPr>
        <w:tc>
          <w:tcPr>
            <w:tcW w:w="3276" w:type="dxa"/>
            <w:tcBorders>
              <w:top w:val="nil"/>
              <w:left w:val="nil"/>
              <w:bottom w:val="nil"/>
              <w:right w:val="nil"/>
            </w:tcBorders>
            <w:noWrap/>
            <w:tcMar>
              <w:top w:w="0" w:type="dxa"/>
              <w:left w:w="15" w:type="dxa"/>
              <w:bottom w:w="0" w:type="dxa"/>
              <w:right w:w="15" w:type="dxa"/>
            </w:tcMar>
            <w:vAlign w:val="bottom"/>
          </w:tcPr>
          <w:p w:rsidR="00DD0118" w:rsidRPr="00353FCF" w:rsidRDefault="00DD0118" w:rsidP="004035FC">
            <w:pPr>
              <w:jc w:val="both"/>
              <w:rPr>
                <w:rFonts w:ascii="Verdana" w:hAnsi="Verdana"/>
                <w:noProof/>
                <w:sz w:val="16"/>
                <w:szCs w:val="16"/>
                <w:lang w:val="en-GB"/>
              </w:rPr>
            </w:pPr>
            <w:r w:rsidRPr="00353FCF">
              <w:rPr>
                <w:rFonts w:ascii="Verdana" w:hAnsi="Verdana"/>
                <w:noProof/>
                <w:sz w:val="16"/>
                <w:szCs w:val="16"/>
                <w:lang w:val="en-GB"/>
              </w:rPr>
              <w:t xml:space="preserve">Equity </w:t>
            </w:r>
          </w:p>
        </w:tc>
        <w:tc>
          <w:tcPr>
            <w:tcW w:w="1842" w:type="dxa"/>
            <w:gridSpan w:val="2"/>
            <w:tcBorders>
              <w:top w:val="nil"/>
              <w:left w:val="nil"/>
              <w:bottom w:val="nil"/>
              <w:right w:val="nil"/>
            </w:tcBorders>
            <w:noWrap/>
            <w:tcMar>
              <w:top w:w="0" w:type="dxa"/>
              <w:left w:w="15" w:type="dxa"/>
              <w:bottom w:w="0" w:type="dxa"/>
              <w:right w:w="15" w:type="dxa"/>
            </w:tcMar>
            <w:vAlign w:val="bottom"/>
          </w:tcPr>
          <w:p w:rsidR="00DD0118" w:rsidRPr="00D8068C" w:rsidRDefault="00DD0118" w:rsidP="00726CCE">
            <w:pPr>
              <w:jc w:val="right"/>
              <w:rPr>
                <w:rFonts w:ascii="Verdana" w:hAnsi="Verdana"/>
                <w:noProof/>
                <w:sz w:val="16"/>
                <w:szCs w:val="16"/>
              </w:rPr>
            </w:pPr>
            <w:r w:rsidRPr="00D8068C">
              <w:rPr>
                <w:rFonts w:ascii="Verdana" w:hAnsi="Verdana"/>
                <w:noProof/>
                <w:sz w:val="16"/>
                <w:szCs w:val="16"/>
              </w:rPr>
              <w:t>286</w:t>
            </w:r>
            <w:r>
              <w:rPr>
                <w:rFonts w:ascii="Verdana" w:hAnsi="Verdana"/>
                <w:noProof/>
                <w:sz w:val="16"/>
                <w:szCs w:val="16"/>
              </w:rPr>
              <w:t>,</w:t>
            </w:r>
            <w:r w:rsidR="00726CCE">
              <w:rPr>
                <w:rFonts w:ascii="Verdana" w:hAnsi="Verdana"/>
                <w:noProof/>
                <w:sz w:val="16"/>
                <w:szCs w:val="16"/>
              </w:rPr>
              <w:t>825</w:t>
            </w:r>
          </w:p>
        </w:tc>
        <w:tc>
          <w:tcPr>
            <w:tcW w:w="1418" w:type="dxa"/>
            <w:tcBorders>
              <w:top w:val="nil"/>
              <w:left w:val="nil"/>
              <w:bottom w:val="nil"/>
              <w:right w:val="nil"/>
            </w:tcBorders>
            <w:noWrap/>
            <w:tcMar>
              <w:top w:w="0" w:type="dxa"/>
              <w:left w:w="15" w:type="dxa"/>
              <w:bottom w:w="0" w:type="dxa"/>
              <w:right w:w="15" w:type="dxa"/>
            </w:tcMar>
            <w:vAlign w:val="bottom"/>
          </w:tcPr>
          <w:p w:rsidR="00DD0118" w:rsidRPr="00A46727" w:rsidRDefault="00DD0118" w:rsidP="00DD0118">
            <w:pPr>
              <w:jc w:val="right"/>
              <w:rPr>
                <w:rFonts w:ascii="Verdana" w:hAnsi="Verdana"/>
                <w:noProof/>
                <w:sz w:val="16"/>
                <w:szCs w:val="16"/>
              </w:rPr>
            </w:pPr>
            <w:r w:rsidRPr="00A46727">
              <w:rPr>
                <w:rFonts w:ascii="Verdana" w:hAnsi="Verdana"/>
                <w:noProof/>
                <w:sz w:val="16"/>
                <w:szCs w:val="16"/>
              </w:rPr>
              <w:t>181</w:t>
            </w:r>
            <w:r>
              <w:rPr>
                <w:rFonts w:ascii="Verdana" w:hAnsi="Verdana"/>
                <w:noProof/>
                <w:sz w:val="16"/>
                <w:szCs w:val="16"/>
              </w:rPr>
              <w:t>,</w:t>
            </w:r>
            <w:r w:rsidRPr="00A46727">
              <w:rPr>
                <w:rFonts w:ascii="Verdana" w:hAnsi="Verdana"/>
                <w:noProof/>
                <w:sz w:val="16"/>
                <w:szCs w:val="16"/>
              </w:rPr>
              <w:t>835</w:t>
            </w:r>
          </w:p>
        </w:tc>
      </w:tr>
      <w:tr w:rsidR="00DD0118" w:rsidRPr="00353FCF" w:rsidTr="004035FC">
        <w:trPr>
          <w:trHeight w:val="255"/>
        </w:trPr>
        <w:tc>
          <w:tcPr>
            <w:tcW w:w="3276" w:type="dxa"/>
            <w:tcBorders>
              <w:top w:val="nil"/>
              <w:left w:val="nil"/>
              <w:bottom w:val="nil"/>
              <w:right w:val="nil"/>
            </w:tcBorders>
            <w:noWrap/>
            <w:tcMar>
              <w:top w:w="0" w:type="dxa"/>
              <w:left w:w="15" w:type="dxa"/>
              <w:bottom w:w="0" w:type="dxa"/>
              <w:right w:w="15" w:type="dxa"/>
            </w:tcMar>
            <w:vAlign w:val="bottom"/>
          </w:tcPr>
          <w:p w:rsidR="00DD0118" w:rsidRPr="00353FCF" w:rsidRDefault="00DD0118" w:rsidP="004035FC">
            <w:pPr>
              <w:jc w:val="both"/>
              <w:rPr>
                <w:rFonts w:ascii="Verdana" w:hAnsi="Verdana"/>
                <w:noProof/>
                <w:sz w:val="16"/>
                <w:szCs w:val="16"/>
                <w:lang w:val="en-GB"/>
              </w:rPr>
            </w:pPr>
            <w:r w:rsidRPr="00353FCF">
              <w:rPr>
                <w:rFonts w:ascii="Verdana" w:hAnsi="Verdana"/>
                <w:noProof/>
                <w:sz w:val="16"/>
                <w:szCs w:val="16"/>
                <w:lang w:val="en-GB"/>
              </w:rPr>
              <w:t>Working capital</w:t>
            </w:r>
          </w:p>
        </w:tc>
        <w:tc>
          <w:tcPr>
            <w:tcW w:w="1842" w:type="dxa"/>
            <w:gridSpan w:val="2"/>
            <w:tcBorders>
              <w:top w:val="nil"/>
              <w:left w:val="nil"/>
              <w:bottom w:val="nil"/>
              <w:right w:val="nil"/>
            </w:tcBorders>
            <w:noWrap/>
            <w:tcMar>
              <w:top w:w="0" w:type="dxa"/>
              <w:left w:w="15" w:type="dxa"/>
              <w:bottom w:w="0" w:type="dxa"/>
              <w:right w:w="15" w:type="dxa"/>
            </w:tcMar>
            <w:vAlign w:val="bottom"/>
          </w:tcPr>
          <w:p w:rsidR="00DD0118" w:rsidRPr="00FA6496" w:rsidRDefault="00A41150" w:rsidP="00DD0118">
            <w:pPr>
              <w:jc w:val="right"/>
              <w:rPr>
                <w:rFonts w:ascii="Verdana" w:hAnsi="Verdana"/>
                <w:noProof/>
                <w:sz w:val="16"/>
                <w:szCs w:val="16"/>
                <w:highlight w:val="yellow"/>
              </w:rPr>
            </w:pPr>
            <w:r w:rsidRPr="00A41150">
              <w:rPr>
                <w:rFonts w:ascii="Verdana" w:hAnsi="Verdana"/>
                <w:noProof/>
                <w:sz w:val="16"/>
                <w:szCs w:val="16"/>
              </w:rPr>
              <w:t>(8,290)</w:t>
            </w:r>
          </w:p>
        </w:tc>
        <w:tc>
          <w:tcPr>
            <w:tcW w:w="1418" w:type="dxa"/>
            <w:tcBorders>
              <w:top w:val="nil"/>
              <w:left w:val="nil"/>
              <w:bottom w:val="nil"/>
              <w:right w:val="nil"/>
            </w:tcBorders>
            <w:noWrap/>
            <w:tcMar>
              <w:top w:w="0" w:type="dxa"/>
              <w:left w:w="15" w:type="dxa"/>
              <w:bottom w:w="0" w:type="dxa"/>
              <w:right w:w="15" w:type="dxa"/>
            </w:tcMar>
            <w:vAlign w:val="bottom"/>
          </w:tcPr>
          <w:p w:rsidR="00DD0118" w:rsidRPr="00A46727" w:rsidRDefault="00DD0118" w:rsidP="00DD0118">
            <w:pPr>
              <w:jc w:val="right"/>
              <w:rPr>
                <w:rFonts w:ascii="Verdana" w:hAnsi="Verdana"/>
                <w:noProof/>
                <w:sz w:val="16"/>
                <w:szCs w:val="16"/>
              </w:rPr>
            </w:pPr>
            <w:r w:rsidRPr="00A46727">
              <w:rPr>
                <w:rFonts w:ascii="Verdana" w:hAnsi="Verdana"/>
                <w:noProof/>
                <w:sz w:val="16"/>
                <w:szCs w:val="16"/>
              </w:rPr>
              <w:t>109</w:t>
            </w:r>
            <w:r>
              <w:rPr>
                <w:rFonts w:ascii="Verdana" w:hAnsi="Verdana"/>
                <w:noProof/>
                <w:sz w:val="16"/>
                <w:szCs w:val="16"/>
              </w:rPr>
              <w:t>,</w:t>
            </w:r>
            <w:r w:rsidRPr="00A46727">
              <w:rPr>
                <w:rFonts w:ascii="Verdana" w:hAnsi="Verdana"/>
                <w:noProof/>
                <w:sz w:val="16"/>
                <w:szCs w:val="16"/>
              </w:rPr>
              <w:t>887</w:t>
            </w:r>
          </w:p>
        </w:tc>
      </w:tr>
      <w:tr w:rsidR="00FD088F" w:rsidRPr="00353FCF" w:rsidTr="004035FC">
        <w:trPr>
          <w:gridBefore w:val="1"/>
          <w:wBefore w:w="3276" w:type="dxa"/>
          <w:trHeight w:val="255"/>
        </w:trPr>
        <w:tc>
          <w:tcPr>
            <w:tcW w:w="1842" w:type="dxa"/>
            <w:gridSpan w:val="2"/>
            <w:tcBorders>
              <w:top w:val="nil"/>
              <w:left w:val="nil"/>
              <w:bottom w:val="nil"/>
              <w:right w:val="nil"/>
            </w:tcBorders>
            <w:noWrap/>
            <w:tcMar>
              <w:top w:w="15" w:type="dxa"/>
              <w:left w:w="15" w:type="dxa"/>
              <w:bottom w:w="0" w:type="dxa"/>
              <w:right w:w="15" w:type="dxa"/>
            </w:tcMar>
            <w:vAlign w:val="bottom"/>
          </w:tcPr>
          <w:p w:rsidR="00FD088F" w:rsidRPr="00353FCF" w:rsidRDefault="00FD088F" w:rsidP="004035FC">
            <w:pPr>
              <w:jc w:val="right"/>
              <w:rPr>
                <w:rFonts w:ascii="Verdana" w:hAnsi="Verdana"/>
                <w:noProof/>
                <w:sz w:val="16"/>
                <w:szCs w:val="16"/>
                <w:highlight w:val="yellow"/>
                <w:lang w:val="en-GB"/>
              </w:rPr>
            </w:pPr>
          </w:p>
        </w:tc>
        <w:tc>
          <w:tcPr>
            <w:tcW w:w="1418" w:type="dxa"/>
            <w:tcBorders>
              <w:top w:val="nil"/>
              <w:left w:val="nil"/>
              <w:bottom w:val="nil"/>
              <w:right w:val="nil"/>
            </w:tcBorders>
            <w:noWrap/>
            <w:tcMar>
              <w:top w:w="15" w:type="dxa"/>
              <w:left w:w="15" w:type="dxa"/>
              <w:bottom w:w="0" w:type="dxa"/>
              <w:right w:w="15" w:type="dxa"/>
            </w:tcMar>
            <w:vAlign w:val="bottom"/>
          </w:tcPr>
          <w:p w:rsidR="00FD088F" w:rsidRPr="00353FCF" w:rsidRDefault="00FD088F" w:rsidP="00FD088F">
            <w:pPr>
              <w:jc w:val="right"/>
              <w:rPr>
                <w:rFonts w:ascii="Verdana" w:hAnsi="Verdana"/>
                <w:noProof/>
                <w:sz w:val="16"/>
                <w:szCs w:val="16"/>
                <w:highlight w:val="yellow"/>
                <w:lang w:val="en-GB"/>
              </w:rPr>
            </w:pPr>
          </w:p>
        </w:tc>
      </w:tr>
      <w:tr w:rsidR="00FD088F" w:rsidRPr="00353FCF" w:rsidTr="004035FC">
        <w:trPr>
          <w:trHeight w:val="255"/>
        </w:trPr>
        <w:tc>
          <w:tcPr>
            <w:tcW w:w="3276" w:type="dxa"/>
            <w:tcBorders>
              <w:top w:val="nil"/>
              <w:left w:val="nil"/>
              <w:bottom w:val="nil"/>
              <w:right w:val="nil"/>
            </w:tcBorders>
            <w:shd w:val="clear" w:color="auto" w:fill="C0C0C0"/>
            <w:noWrap/>
            <w:tcMar>
              <w:top w:w="0" w:type="dxa"/>
              <w:left w:w="15" w:type="dxa"/>
              <w:bottom w:w="0" w:type="dxa"/>
              <w:right w:w="15" w:type="dxa"/>
            </w:tcMar>
            <w:vAlign w:val="bottom"/>
          </w:tcPr>
          <w:p w:rsidR="00FD088F" w:rsidRPr="00353FCF" w:rsidRDefault="00FD088F" w:rsidP="002F6CAB">
            <w:pPr>
              <w:ind w:right="-298"/>
              <w:rPr>
                <w:rFonts w:ascii="Verdana" w:hAnsi="Verdana"/>
                <w:b/>
                <w:noProof/>
                <w:sz w:val="16"/>
                <w:szCs w:val="16"/>
                <w:lang w:val="en-GB"/>
              </w:rPr>
            </w:pPr>
            <w:r w:rsidRPr="00353FCF">
              <w:rPr>
                <w:rFonts w:ascii="Verdana" w:hAnsi="Verdana"/>
                <w:b/>
                <w:noProof/>
                <w:sz w:val="16"/>
                <w:szCs w:val="16"/>
                <w:lang w:val="en-GB"/>
              </w:rPr>
              <w:t>Cash flow January to December</w:t>
            </w:r>
          </w:p>
        </w:tc>
        <w:tc>
          <w:tcPr>
            <w:tcW w:w="1842" w:type="dxa"/>
            <w:gridSpan w:val="2"/>
            <w:tcBorders>
              <w:top w:val="nil"/>
              <w:left w:val="nil"/>
              <w:bottom w:val="nil"/>
              <w:right w:val="nil"/>
            </w:tcBorders>
            <w:shd w:val="clear" w:color="auto" w:fill="C0C0C0"/>
            <w:noWrap/>
            <w:tcMar>
              <w:top w:w="0" w:type="dxa"/>
              <w:left w:w="15" w:type="dxa"/>
              <w:bottom w:w="0" w:type="dxa"/>
              <w:right w:w="15" w:type="dxa"/>
            </w:tcMar>
            <w:vAlign w:val="bottom"/>
          </w:tcPr>
          <w:p w:rsidR="00FD088F" w:rsidRPr="00353FCF" w:rsidRDefault="00FD088F" w:rsidP="00FD088F">
            <w:pPr>
              <w:jc w:val="right"/>
              <w:rPr>
                <w:rFonts w:ascii="Verdana" w:hAnsi="Verdana"/>
                <w:b/>
                <w:noProof/>
                <w:sz w:val="16"/>
                <w:szCs w:val="16"/>
                <w:lang w:val="en-GB"/>
              </w:rPr>
            </w:pPr>
            <w:r w:rsidRPr="00353FCF">
              <w:rPr>
                <w:rFonts w:ascii="Verdana" w:hAnsi="Verdana"/>
                <w:b/>
                <w:noProof/>
                <w:sz w:val="16"/>
                <w:szCs w:val="16"/>
                <w:lang w:val="en-GB"/>
              </w:rPr>
              <w:t>2008</w:t>
            </w:r>
          </w:p>
        </w:tc>
        <w:tc>
          <w:tcPr>
            <w:tcW w:w="1418" w:type="dxa"/>
            <w:tcBorders>
              <w:top w:val="nil"/>
              <w:left w:val="nil"/>
              <w:bottom w:val="nil"/>
              <w:right w:val="nil"/>
            </w:tcBorders>
            <w:shd w:val="clear" w:color="auto" w:fill="C0C0C0"/>
            <w:noWrap/>
            <w:tcMar>
              <w:top w:w="0" w:type="dxa"/>
              <w:left w:w="15" w:type="dxa"/>
              <w:bottom w:w="0" w:type="dxa"/>
              <w:right w:w="15" w:type="dxa"/>
            </w:tcMar>
            <w:vAlign w:val="bottom"/>
          </w:tcPr>
          <w:p w:rsidR="00FD088F" w:rsidRPr="00353FCF" w:rsidRDefault="00FD088F" w:rsidP="00FD088F">
            <w:pPr>
              <w:jc w:val="right"/>
              <w:rPr>
                <w:rFonts w:ascii="Verdana" w:hAnsi="Verdana"/>
                <w:b/>
                <w:noProof/>
                <w:sz w:val="16"/>
                <w:szCs w:val="16"/>
                <w:lang w:val="en-GB"/>
              </w:rPr>
            </w:pPr>
            <w:r w:rsidRPr="00353FCF">
              <w:rPr>
                <w:rFonts w:ascii="Verdana" w:hAnsi="Verdana"/>
                <w:b/>
                <w:noProof/>
                <w:sz w:val="16"/>
                <w:szCs w:val="16"/>
                <w:lang w:val="en-GB"/>
              </w:rPr>
              <w:t>2007</w:t>
            </w:r>
          </w:p>
        </w:tc>
      </w:tr>
      <w:tr w:rsidR="00DD0118" w:rsidRPr="00353FCF" w:rsidTr="004035FC">
        <w:trPr>
          <w:trHeight w:val="255"/>
        </w:trPr>
        <w:tc>
          <w:tcPr>
            <w:tcW w:w="3276" w:type="dxa"/>
            <w:tcBorders>
              <w:top w:val="nil"/>
              <w:left w:val="nil"/>
              <w:bottom w:val="nil"/>
              <w:right w:val="nil"/>
            </w:tcBorders>
            <w:noWrap/>
            <w:tcMar>
              <w:top w:w="0" w:type="dxa"/>
              <w:left w:w="15" w:type="dxa"/>
              <w:bottom w:w="0" w:type="dxa"/>
              <w:right w:w="15" w:type="dxa"/>
            </w:tcMar>
            <w:vAlign w:val="bottom"/>
          </w:tcPr>
          <w:p w:rsidR="00DD0118" w:rsidRPr="00353FCF" w:rsidRDefault="00DD0118" w:rsidP="004035FC">
            <w:pPr>
              <w:jc w:val="both"/>
              <w:rPr>
                <w:rFonts w:ascii="Verdana" w:hAnsi="Verdana"/>
                <w:noProof/>
                <w:sz w:val="16"/>
                <w:szCs w:val="16"/>
                <w:lang w:val="en-GB"/>
              </w:rPr>
            </w:pPr>
            <w:r w:rsidRPr="00353FCF">
              <w:rPr>
                <w:rFonts w:ascii="Verdana" w:hAnsi="Verdana"/>
                <w:noProof/>
                <w:sz w:val="16"/>
                <w:szCs w:val="16"/>
                <w:lang w:val="en-GB"/>
              </w:rPr>
              <w:t>Working capital from operations</w:t>
            </w:r>
          </w:p>
        </w:tc>
        <w:tc>
          <w:tcPr>
            <w:tcW w:w="1842" w:type="dxa"/>
            <w:gridSpan w:val="2"/>
            <w:tcBorders>
              <w:top w:val="nil"/>
              <w:left w:val="nil"/>
              <w:bottom w:val="nil"/>
              <w:right w:val="nil"/>
            </w:tcBorders>
            <w:noWrap/>
            <w:tcMar>
              <w:top w:w="0" w:type="dxa"/>
              <w:left w:w="15" w:type="dxa"/>
              <w:bottom w:w="0" w:type="dxa"/>
              <w:right w:w="15" w:type="dxa"/>
            </w:tcMar>
            <w:vAlign w:val="bottom"/>
          </w:tcPr>
          <w:p w:rsidR="00DD0118" w:rsidRPr="005D1DFB" w:rsidRDefault="005D1DFB" w:rsidP="00DD0118">
            <w:pPr>
              <w:jc w:val="right"/>
              <w:rPr>
                <w:rFonts w:ascii="Verdana" w:hAnsi="Verdana"/>
                <w:noProof/>
                <w:sz w:val="16"/>
                <w:szCs w:val="16"/>
              </w:rPr>
            </w:pPr>
            <w:r w:rsidRPr="005D1DFB">
              <w:rPr>
                <w:rFonts w:ascii="Verdana" w:hAnsi="Verdana"/>
                <w:noProof/>
                <w:sz w:val="16"/>
                <w:szCs w:val="16"/>
              </w:rPr>
              <w:t>5,038</w:t>
            </w:r>
          </w:p>
        </w:tc>
        <w:tc>
          <w:tcPr>
            <w:tcW w:w="1418" w:type="dxa"/>
            <w:tcBorders>
              <w:top w:val="nil"/>
              <w:left w:val="nil"/>
              <w:bottom w:val="nil"/>
              <w:right w:val="nil"/>
            </w:tcBorders>
            <w:noWrap/>
            <w:tcMar>
              <w:top w:w="0" w:type="dxa"/>
              <w:left w:w="15" w:type="dxa"/>
              <w:bottom w:w="0" w:type="dxa"/>
              <w:right w:w="15" w:type="dxa"/>
            </w:tcMar>
            <w:vAlign w:val="bottom"/>
          </w:tcPr>
          <w:p w:rsidR="00DD0118" w:rsidRPr="00A46727" w:rsidRDefault="00DD0118" w:rsidP="00DD0118">
            <w:pPr>
              <w:jc w:val="right"/>
              <w:rPr>
                <w:rFonts w:ascii="Verdana" w:hAnsi="Verdana"/>
                <w:noProof/>
                <w:sz w:val="16"/>
                <w:szCs w:val="16"/>
              </w:rPr>
            </w:pPr>
            <w:r w:rsidRPr="00A46727">
              <w:rPr>
                <w:rFonts w:ascii="Verdana" w:hAnsi="Verdana"/>
                <w:noProof/>
                <w:sz w:val="16"/>
                <w:szCs w:val="16"/>
              </w:rPr>
              <w:t>12</w:t>
            </w:r>
            <w:r>
              <w:rPr>
                <w:rFonts w:ascii="Verdana" w:hAnsi="Verdana"/>
                <w:noProof/>
                <w:sz w:val="16"/>
                <w:szCs w:val="16"/>
              </w:rPr>
              <w:t>,</w:t>
            </w:r>
            <w:r w:rsidRPr="00A46727">
              <w:rPr>
                <w:rFonts w:ascii="Verdana" w:hAnsi="Verdana"/>
                <w:noProof/>
                <w:sz w:val="16"/>
                <w:szCs w:val="16"/>
              </w:rPr>
              <w:t>987</w:t>
            </w:r>
          </w:p>
        </w:tc>
      </w:tr>
      <w:tr w:rsidR="00DD0118" w:rsidRPr="00353FCF" w:rsidTr="004035FC">
        <w:trPr>
          <w:trHeight w:val="255"/>
        </w:trPr>
        <w:tc>
          <w:tcPr>
            <w:tcW w:w="3276" w:type="dxa"/>
            <w:tcBorders>
              <w:top w:val="nil"/>
              <w:left w:val="nil"/>
              <w:bottom w:val="nil"/>
              <w:right w:val="nil"/>
            </w:tcBorders>
            <w:noWrap/>
            <w:tcMar>
              <w:top w:w="0" w:type="dxa"/>
              <w:left w:w="15" w:type="dxa"/>
              <w:bottom w:w="0" w:type="dxa"/>
              <w:right w:w="15" w:type="dxa"/>
            </w:tcMar>
            <w:vAlign w:val="bottom"/>
          </w:tcPr>
          <w:p w:rsidR="00DD0118" w:rsidRPr="00353FCF" w:rsidRDefault="00DD0118" w:rsidP="004035FC">
            <w:pPr>
              <w:jc w:val="both"/>
              <w:rPr>
                <w:rFonts w:ascii="Verdana" w:hAnsi="Verdana"/>
                <w:noProof/>
                <w:sz w:val="16"/>
                <w:szCs w:val="16"/>
                <w:lang w:val="en-GB"/>
              </w:rPr>
            </w:pPr>
            <w:r w:rsidRPr="00353FCF">
              <w:rPr>
                <w:rFonts w:ascii="Verdana" w:hAnsi="Verdana"/>
                <w:noProof/>
                <w:sz w:val="16"/>
                <w:szCs w:val="16"/>
                <w:lang w:val="en-GB"/>
              </w:rPr>
              <w:t>Cash generated from operations</w:t>
            </w:r>
          </w:p>
        </w:tc>
        <w:tc>
          <w:tcPr>
            <w:tcW w:w="1842" w:type="dxa"/>
            <w:gridSpan w:val="2"/>
            <w:tcBorders>
              <w:top w:val="nil"/>
              <w:left w:val="nil"/>
              <w:bottom w:val="nil"/>
              <w:right w:val="nil"/>
            </w:tcBorders>
            <w:noWrap/>
            <w:tcMar>
              <w:top w:w="0" w:type="dxa"/>
              <w:left w:w="15" w:type="dxa"/>
              <w:bottom w:w="0" w:type="dxa"/>
              <w:right w:w="15" w:type="dxa"/>
            </w:tcMar>
            <w:vAlign w:val="bottom"/>
          </w:tcPr>
          <w:p w:rsidR="00DD0118" w:rsidRPr="005D1DFB" w:rsidRDefault="005D1DFB" w:rsidP="00DD0118">
            <w:pPr>
              <w:jc w:val="right"/>
              <w:rPr>
                <w:rFonts w:ascii="Verdana" w:hAnsi="Verdana"/>
                <w:noProof/>
                <w:sz w:val="16"/>
                <w:szCs w:val="16"/>
              </w:rPr>
            </w:pPr>
            <w:r w:rsidRPr="005D1DFB">
              <w:rPr>
                <w:rFonts w:ascii="Verdana" w:hAnsi="Verdana"/>
                <w:noProof/>
                <w:sz w:val="16"/>
                <w:szCs w:val="16"/>
              </w:rPr>
              <w:t>13,663</w:t>
            </w:r>
          </w:p>
        </w:tc>
        <w:tc>
          <w:tcPr>
            <w:tcW w:w="1418" w:type="dxa"/>
            <w:tcBorders>
              <w:top w:val="nil"/>
              <w:left w:val="nil"/>
              <w:bottom w:val="nil"/>
              <w:right w:val="nil"/>
            </w:tcBorders>
            <w:noWrap/>
            <w:tcMar>
              <w:top w:w="0" w:type="dxa"/>
              <w:left w:w="15" w:type="dxa"/>
              <w:bottom w:w="0" w:type="dxa"/>
              <w:right w:w="15" w:type="dxa"/>
            </w:tcMar>
            <w:vAlign w:val="bottom"/>
          </w:tcPr>
          <w:p w:rsidR="00DD0118" w:rsidRPr="00A46727" w:rsidRDefault="00DD0118" w:rsidP="00DD0118">
            <w:pPr>
              <w:jc w:val="right"/>
              <w:rPr>
                <w:rFonts w:ascii="Verdana" w:hAnsi="Verdana"/>
                <w:noProof/>
                <w:sz w:val="16"/>
                <w:szCs w:val="16"/>
              </w:rPr>
            </w:pPr>
            <w:r w:rsidRPr="00A46727">
              <w:rPr>
                <w:rFonts w:ascii="Verdana" w:hAnsi="Verdana"/>
                <w:noProof/>
                <w:sz w:val="16"/>
                <w:szCs w:val="16"/>
              </w:rPr>
              <w:t>2</w:t>
            </w:r>
            <w:r>
              <w:rPr>
                <w:rFonts w:ascii="Verdana" w:hAnsi="Verdana"/>
                <w:noProof/>
                <w:sz w:val="16"/>
                <w:szCs w:val="16"/>
              </w:rPr>
              <w:t>,</w:t>
            </w:r>
            <w:r w:rsidRPr="00A46727">
              <w:rPr>
                <w:rFonts w:ascii="Verdana" w:hAnsi="Verdana"/>
                <w:noProof/>
                <w:sz w:val="16"/>
                <w:szCs w:val="16"/>
              </w:rPr>
              <w:t>778</w:t>
            </w:r>
          </w:p>
        </w:tc>
      </w:tr>
      <w:tr w:rsidR="00DD0118" w:rsidRPr="00353FCF" w:rsidTr="004035FC">
        <w:trPr>
          <w:trHeight w:val="255"/>
        </w:trPr>
        <w:tc>
          <w:tcPr>
            <w:tcW w:w="3276" w:type="dxa"/>
            <w:tcBorders>
              <w:top w:val="nil"/>
              <w:left w:val="nil"/>
              <w:bottom w:val="nil"/>
              <w:right w:val="nil"/>
            </w:tcBorders>
            <w:noWrap/>
            <w:tcMar>
              <w:top w:w="0" w:type="dxa"/>
              <w:left w:w="15" w:type="dxa"/>
              <w:bottom w:w="0" w:type="dxa"/>
              <w:right w:w="15" w:type="dxa"/>
            </w:tcMar>
            <w:vAlign w:val="bottom"/>
          </w:tcPr>
          <w:p w:rsidR="00DD0118" w:rsidRPr="00353FCF" w:rsidRDefault="00DD0118" w:rsidP="004035FC">
            <w:pPr>
              <w:jc w:val="both"/>
              <w:rPr>
                <w:rFonts w:ascii="Verdana" w:hAnsi="Verdana"/>
                <w:noProof/>
                <w:sz w:val="16"/>
                <w:szCs w:val="16"/>
                <w:lang w:val="en-GB"/>
              </w:rPr>
            </w:pPr>
            <w:r w:rsidRPr="00353FCF">
              <w:rPr>
                <w:rFonts w:ascii="Verdana" w:hAnsi="Verdana"/>
                <w:noProof/>
                <w:sz w:val="16"/>
                <w:szCs w:val="16"/>
                <w:lang w:val="en-GB"/>
              </w:rPr>
              <w:t>Increase/(decrease) in net cash</w:t>
            </w:r>
          </w:p>
        </w:tc>
        <w:tc>
          <w:tcPr>
            <w:tcW w:w="1842" w:type="dxa"/>
            <w:gridSpan w:val="2"/>
            <w:tcBorders>
              <w:top w:val="nil"/>
              <w:left w:val="nil"/>
              <w:bottom w:val="nil"/>
              <w:right w:val="nil"/>
            </w:tcBorders>
            <w:noWrap/>
            <w:tcMar>
              <w:top w:w="0" w:type="dxa"/>
              <w:left w:w="15" w:type="dxa"/>
              <w:bottom w:w="0" w:type="dxa"/>
              <w:right w:w="15" w:type="dxa"/>
            </w:tcMar>
            <w:vAlign w:val="bottom"/>
          </w:tcPr>
          <w:p w:rsidR="00DD0118" w:rsidRPr="005D1DFB" w:rsidRDefault="00DD0118" w:rsidP="005D1DFB">
            <w:pPr>
              <w:jc w:val="right"/>
              <w:rPr>
                <w:rFonts w:ascii="Verdana" w:hAnsi="Verdana"/>
                <w:noProof/>
                <w:sz w:val="16"/>
                <w:szCs w:val="16"/>
              </w:rPr>
            </w:pPr>
            <w:r w:rsidRPr="005D1DFB">
              <w:rPr>
                <w:rFonts w:ascii="Verdana" w:hAnsi="Verdana"/>
                <w:noProof/>
                <w:sz w:val="16"/>
                <w:szCs w:val="16"/>
              </w:rPr>
              <w:t>(</w:t>
            </w:r>
            <w:r w:rsidR="005D1DFB" w:rsidRPr="005D1DFB">
              <w:rPr>
                <w:rFonts w:ascii="Verdana" w:hAnsi="Verdana"/>
                <w:noProof/>
                <w:sz w:val="16"/>
                <w:szCs w:val="16"/>
              </w:rPr>
              <w:t>7,728</w:t>
            </w:r>
            <w:r w:rsidRPr="005D1DFB">
              <w:rPr>
                <w:rFonts w:ascii="Verdana" w:hAnsi="Verdana"/>
                <w:noProof/>
                <w:sz w:val="16"/>
                <w:szCs w:val="16"/>
              </w:rPr>
              <w:t>)</w:t>
            </w:r>
          </w:p>
        </w:tc>
        <w:tc>
          <w:tcPr>
            <w:tcW w:w="1418" w:type="dxa"/>
            <w:tcBorders>
              <w:top w:val="nil"/>
              <w:left w:val="nil"/>
              <w:bottom w:val="nil"/>
              <w:right w:val="nil"/>
            </w:tcBorders>
            <w:noWrap/>
            <w:tcMar>
              <w:top w:w="0" w:type="dxa"/>
              <w:left w:w="15" w:type="dxa"/>
              <w:bottom w:w="0" w:type="dxa"/>
              <w:right w:w="15" w:type="dxa"/>
            </w:tcMar>
            <w:vAlign w:val="bottom"/>
          </w:tcPr>
          <w:p w:rsidR="00DD0118" w:rsidRPr="00A46727" w:rsidRDefault="00DD0118" w:rsidP="00DD0118">
            <w:pPr>
              <w:jc w:val="right"/>
              <w:rPr>
                <w:rFonts w:ascii="Verdana" w:hAnsi="Verdana"/>
                <w:noProof/>
                <w:sz w:val="16"/>
                <w:szCs w:val="16"/>
              </w:rPr>
            </w:pPr>
            <w:r w:rsidRPr="00A46727">
              <w:rPr>
                <w:rFonts w:ascii="Verdana" w:hAnsi="Verdana"/>
                <w:noProof/>
                <w:sz w:val="16"/>
                <w:szCs w:val="16"/>
              </w:rPr>
              <w:t>(33</w:t>
            </w:r>
            <w:r>
              <w:rPr>
                <w:rFonts w:ascii="Verdana" w:hAnsi="Verdana"/>
                <w:noProof/>
                <w:sz w:val="16"/>
                <w:szCs w:val="16"/>
              </w:rPr>
              <w:t>,</w:t>
            </w:r>
            <w:r w:rsidRPr="00A46727">
              <w:rPr>
                <w:rFonts w:ascii="Verdana" w:hAnsi="Verdana"/>
                <w:noProof/>
                <w:sz w:val="16"/>
                <w:szCs w:val="16"/>
              </w:rPr>
              <w:t>353)</w:t>
            </w:r>
          </w:p>
        </w:tc>
      </w:tr>
      <w:tr w:rsidR="00DD0118" w:rsidRPr="00353FCF" w:rsidTr="004035FC">
        <w:trPr>
          <w:trHeight w:val="255"/>
        </w:trPr>
        <w:tc>
          <w:tcPr>
            <w:tcW w:w="3276" w:type="dxa"/>
            <w:tcBorders>
              <w:top w:val="nil"/>
              <w:left w:val="nil"/>
              <w:bottom w:val="nil"/>
              <w:right w:val="nil"/>
            </w:tcBorders>
            <w:noWrap/>
            <w:tcMar>
              <w:top w:w="0" w:type="dxa"/>
              <w:left w:w="15" w:type="dxa"/>
              <w:bottom w:w="0" w:type="dxa"/>
              <w:right w:w="15" w:type="dxa"/>
            </w:tcMar>
            <w:vAlign w:val="bottom"/>
          </w:tcPr>
          <w:p w:rsidR="00DD0118" w:rsidRPr="00353FCF" w:rsidRDefault="00DD0118" w:rsidP="004035FC">
            <w:pPr>
              <w:jc w:val="both"/>
              <w:rPr>
                <w:rFonts w:ascii="Verdana" w:hAnsi="Verdana"/>
                <w:noProof/>
                <w:sz w:val="16"/>
                <w:szCs w:val="16"/>
                <w:lang w:val="en-GB"/>
              </w:rPr>
            </w:pPr>
            <w:r w:rsidRPr="00353FCF">
              <w:rPr>
                <w:rFonts w:ascii="Verdana" w:hAnsi="Verdana"/>
                <w:noProof/>
                <w:sz w:val="16"/>
                <w:szCs w:val="16"/>
                <w:lang w:val="en-GB"/>
              </w:rPr>
              <w:t>Net cash at end of period</w:t>
            </w:r>
          </w:p>
        </w:tc>
        <w:tc>
          <w:tcPr>
            <w:tcW w:w="1842" w:type="dxa"/>
            <w:gridSpan w:val="2"/>
            <w:tcBorders>
              <w:top w:val="nil"/>
              <w:left w:val="nil"/>
              <w:bottom w:val="nil"/>
              <w:right w:val="nil"/>
            </w:tcBorders>
            <w:noWrap/>
            <w:tcMar>
              <w:top w:w="0" w:type="dxa"/>
              <w:left w:w="15" w:type="dxa"/>
              <w:bottom w:w="0" w:type="dxa"/>
              <w:right w:w="15" w:type="dxa"/>
            </w:tcMar>
            <w:vAlign w:val="bottom"/>
          </w:tcPr>
          <w:p w:rsidR="00DD0118" w:rsidRPr="005D1DFB" w:rsidRDefault="005D1DFB" w:rsidP="00DD0118">
            <w:pPr>
              <w:jc w:val="right"/>
              <w:rPr>
                <w:rFonts w:ascii="Verdana" w:hAnsi="Verdana"/>
                <w:noProof/>
                <w:sz w:val="16"/>
                <w:szCs w:val="16"/>
              </w:rPr>
            </w:pPr>
            <w:r w:rsidRPr="005D1DFB">
              <w:rPr>
                <w:rFonts w:ascii="Verdana" w:hAnsi="Verdana"/>
                <w:noProof/>
                <w:sz w:val="16"/>
                <w:szCs w:val="16"/>
              </w:rPr>
              <w:t>22,213</w:t>
            </w:r>
          </w:p>
        </w:tc>
        <w:tc>
          <w:tcPr>
            <w:tcW w:w="1418" w:type="dxa"/>
            <w:tcBorders>
              <w:top w:val="nil"/>
              <w:left w:val="nil"/>
              <w:bottom w:val="nil"/>
              <w:right w:val="nil"/>
            </w:tcBorders>
            <w:noWrap/>
            <w:tcMar>
              <w:top w:w="0" w:type="dxa"/>
              <w:left w:w="15" w:type="dxa"/>
              <w:bottom w:w="0" w:type="dxa"/>
              <w:right w:w="15" w:type="dxa"/>
            </w:tcMar>
            <w:vAlign w:val="bottom"/>
          </w:tcPr>
          <w:p w:rsidR="00DD0118" w:rsidRPr="00A46727" w:rsidRDefault="00DD0118" w:rsidP="00DD0118">
            <w:pPr>
              <w:jc w:val="right"/>
              <w:rPr>
                <w:rFonts w:ascii="Verdana" w:hAnsi="Verdana"/>
                <w:noProof/>
                <w:sz w:val="16"/>
                <w:szCs w:val="16"/>
              </w:rPr>
            </w:pPr>
            <w:r w:rsidRPr="00A46727">
              <w:rPr>
                <w:rFonts w:ascii="Verdana" w:hAnsi="Verdana"/>
                <w:noProof/>
                <w:sz w:val="16"/>
                <w:szCs w:val="16"/>
              </w:rPr>
              <w:t>30</w:t>
            </w:r>
            <w:r>
              <w:rPr>
                <w:rFonts w:ascii="Verdana" w:hAnsi="Verdana"/>
                <w:noProof/>
                <w:sz w:val="16"/>
                <w:szCs w:val="16"/>
              </w:rPr>
              <w:t>,</w:t>
            </w:r>
            <w:r w:rsidRPr="00A46727">
              <w:rPr>
                <w:rFonts w:ascii="Verdana" w:hAnsi="Verdana"/>
                <w:noProof/>
                <w:sz w:val="16"/>
                <w:szCs w:val="16"/>
              </w:rPr>
              <w:t>437</w:t>
            </w:r>
          </w:p>
        </w:tc>
      </w:tr>
      <w:tr w:rsidR="00FD088F" w:rsidRPr="00353FCF" w:rsidTr="004035FC">
        <w:trPr>
          <w:gridBefore w:val="1"/>
          <w:wBefore w:w="3276" w:type="dxa"/>
          <w:trHeight w:val="255"/>
        </w:trPr>
        <w:tc>
          <w:tcPr>
            <w:tcW w:w="1842" w:type="dxa"/>
            <w:gridSpan w:val="2"/>
            <w:tcBorders>
              <w:top w:val="nil"/>
              <w:left w:val="nil"/>
              <w:bottom w:val="nil"/>
              <w:right w:val="nil"/>
            </w:tcBorders>
            <w:noWrap/>
            <w:tcMar>
              <w:top w:w="15" w:type="dxa"/>
              <w:left w:w="15" w:type="dxa"/>
              <w:bottom w:w="0" w:type="dxa"/>
              <w:right w:w="15" w:type="dxa"/>
            </w:tcMar>
            <w:vAlign w:val="bottom"/>
          </w:tcPr>
          <w:p w:rsidR="00FD088F" w:rsidRPr="005D1DFB" w:rsidRDefault="00FD088F" w:rsidP="004035FC">
            <w:pPr>
              <w:jc w:val="right"/>
              <w:rPr>
                <w:rFonts w:ascii="Verdana" w:hAnsi="Verdana"/>
                <w:noProof/>
                <w:sz w:val="16"/>
                <w:szCs w:val="16"/>
                <w:lang w:val="en-GB"/>
              </w:rPr>
            </w:pPr>
          </w:p>
        </w:tc>
        <w:tc>
          <w:tcPr>
            <w:tcW w:w="1418" w:type="dxa"/>
            <w:tcBorders>
              <w:top w:val="nil"/>
              <w:left w:val="nil"/>
              <w:bottom w:val="nil"/>
              <w:right w:val="nil"/>
            </w:tcBorders>
            <w:noWrap/>
            <w:tcMar>
              <w:top w:w="15" w:type="dxa"/>
              <w:left w:w="15" w:type="dxa"/>
              <w:bottom w:w="0" w:type="dxa"/>
              <w:right w:w="15" w:type="dxa"/>
            </w:tcMar>
            <w:vAlign w:val="bottom"/>
          </w:tcPr>
          <w:p w:rsidR="00FD088F" w:rsidRPr="00353FCF" w:rsidRDefault="00FD088F" w:rsidP="00FD088F">
            <w:pPr>
              <w:jc w:val="right"/>
              <w:rPr>
                <w:rFonts w:ascii="Verdana" w:hAnsi="Verdana"/>
                <w:noProof/>
                <w:sz w:val="16"/>
                <w:szCs w:val="16"/>
                <w:highlight w:val="yellow"/>
                <w:lang w:val="en-GB"/>
              </w:rPr>
            </w:pPr>
          </w:p>
        </w:tc>
      </w:tr>
      <w:tr w:rsidR="00FD088F" w:rsidRPr="00353FCF" w:rsidTr="004035FC">
        <w:trPr>
          <w:trHeight w:val="255"/>
        </w:trPr>
        <w:tc>
          <w:tcPr>
            <w:tcW w:w="3276" w:type="dxa"/>
            <w:tcBorders>
              <w:top w:val="nil"/>
              <w:left w:val="nil"/>
              <w:bottom w:val="nil"/>
              <w:right w:val="nil"/>
            </w:tcBorders>
            <w:shd w:val="clear" w:color="auto" w:fill="C0C0C0"/>
            <w:noWrap/>
            <w:tcMar>
              <w:top w:w="0" w:type="dxa"/>
              <w:left w:w="15" w:type="dxa"/>
              <w:bottom w:w="0" w:type="dxa"/>
              <w:right w:w="15" w:type="dxa"/>
            </w:tcMar>
            <w:vAlign w:val="bottom"/>
          </w:tcPr>
          <w:p w:rsidR="00FD088F" w:rsidRPr="00353FCF" w:rsidRDefault="00FD088F" w:rsidP="002F6CAB">
            <w:pPr>
              <w:jc w:val="both"/>
              <w:rPr>
                <w:rFonts w:ascii="Verdana" w:hAnsi="Verdana"/>
                <w:b/>
                <w:noProof/>
                <w:sz w:val="16"/>
                <w:szCs w:val="16"/>
                <w:lang w:val="en-GB"/>
              </w:rPr>
            </w:pPr>
            <w:r w:rsidRPr="00353FCF">
              <w:rPr>
                <w:rFonts w:ascii="Verdana" w:hAnsi="Verdana"/>
                <w:b/>
                <w:noProof/>
                <w:sz w:val="16"/>
                <w:szCs w:val="16"/>
                <w:lang w:val="en-GB"/>
              </w:rPr>
              <w:t>Highlights at end of December</w:t>
            </w:r>
          </w:p>
        </w:tc>
        <w:tc>
          <w:tcPr>
            <w:tcW w:w="1842" w:type="dxa"/>
            <w:gridSpan w:val="2"/>
            <w:tcBorders>
              <w:top w:val="nil"/>
              <w:left w:val="nil"/>
              <w:bottom w:val="nil"/>
              <w:right w:val="nil"/>
            </w:tcBorders>
            <w:shd w:val="clear" w:color="auto" w:fill="C0C0C0"/>
            <w:noWrap/>
            <w:tcMar>
              <w:top w:w="0" w:type="dxa"/>
              <w:left w:w="15" w:type="dxa"/>
              <w:bottom w:w="0" w:type="dxa"/>
              <w:right w:w="15" w:type="dxa"/>
            </w:tcMar>
            <w:vAlign w:val="bottom"/>
          </w:tcPr>
          <w:p w:rsidR="00FD088F" w:rsidRPr="005D1DFB" w:rsidRDefault="00FD088F" w:rsidP="00FD088F">
            <w:pPr>
              <w:jc w:val="right"/>
              <w:rPr>
                <w:rFonts w:ascii="Verdana" w:hAnsi="Verdana"/>
                <w:b/>
                <w:noProof/>
                <w:sz w:val="16"/>
                <w:szCs w:val="16"/>
                <w:lang w:val="en-GB"/>
              </w:rPr>
            </w:pPr>
            <w:r w:rsidRPr="005D1DFB">
              <w:rPr>
                <w:rFonts w:ascii="Verdana" w:hAnsi="Verdana"/>
                <w:b/>
                <w:noProof/>
                <w:sz w:val="16"/>
                <w:szCs w:val="16"/>
                <w:lang w:val="en-GB"/>
              </w:rPr>
              <w:t>2008</w:t>
            </w:r>
          </w:p>
        </w:tc>
        <w:tc>
          <w:tcPr>
            <w:tcW w:w="1418" w:type="dxa"/>
            <w:tcBorders>
              <w:top w:val="nil"/>
              <w:left w:val="nil"/>
              <w:bottom w:val="nil"/>
              <w:right w:val="nil"/>
            </w:tcBorders>
            <w:shd w:val="clear" w:color="auto" w:fill="C0C0C0"/>
            <w:noWrap/>
            <w:tcMar>
              <w:top w:w="0" w:type="dxa"/>
              <w:left w:w="15" w:type="dxa"/>
              <w:bottom w:w="0" w:type="dxa"/>
              <w:right w:w="15" w:type="dxa"/>
            </w:tcMar>
            <w:vAlign w:val="bottom"/>
          </w:tcPr>
          <w:p w:rsidR="00FD088F" w:rsidRPr="00353FCF" w:rsidRDefault="00FD088F" w:rsidP="00FD088F">
            <w:pPr>
              <w:jc w:val="right"/>
              <w:rPr>
                <w:rFonts w:ascii="Verdana" w:hAnsi="Verdana"/>
                <w:b/>
                <w:noProof/>
                <w:sz w:val="16"/>
                <w:szCs w:val="16"/>
                <w:lang w:val="en-GB"/>
              </w:rPr>
            </w:pPr>
            <w:r w:rsidRPr="00353FCF">
              <w:rPr>
                <w:rFonts w:ascii="Verdana" w:hAnsi="Verdana"/>
                <w:b/>
                <w:noProof/>
                <w:sz w:val="16"/>
                <w:szCs w:val="16"/>
                <w:lang w:val="en-GB"/>
              </w:rPr>
              <w:t>2007</w:t>
            </w:r>
          </w:p>
        </w:tc>
      </w:tr>
      <w:tr w:rsidR="00DD0118" w:rsidRPr="00353FCF" w:rsidTr="004035FC">
        <w:trPr>
          <w:trHeight w:val="255"/>
        </w:trPr>
        <w:tc>
          <w:tcPr>
            <w:tcW w:w="3276" w:type="dxa"/>
            <w:tcBorders>
              <w:top w:val="nil"/>
              <w:left w:val="nil"/>
              <w:bottom w:val="nil"/>
              <w:right w:val="nil"/>
            </w:tcBorders>
            <w:noWrap/>
            <w:tcMar>
              <w:top w:w="0" w:type="dxa"/>
              <w:left w:w="15" w:type="dxa"/>
              <w:bottom w:w="0" w:type="dxa"/>
              <w:right w:w="15" w:type="dxa"/>
            </w:tcMar>
            <w:vAlign w:val="bottom"/>
          </w:tcPr>
          <w:p w:rsidR="00DD0118" w:rsidRPr="00353FCF" w:rsidRDefault="00DD0118" w:rsidP="004035FC">
            <w:pPr>
              <w:jc w:val="both"/>
              <w:rPr>
                <w:rFonts w:ascii="Verdana" w:hAnsi="Verdana"/>
                <w:noProof/>
                <w:sz w:val="16"/>
                <w:szCs w:val="16"/>
                <w:lang w:val="en-GB"/>
              </w:rPr>
            </w:pPr>
            <w:r w:rsidRPr="00353FCF">
              <w:rPr>
                <w:rFonts w:ascii="Verdana" w:hAnsi="Verdana"/>
                <w:noProof/>
                <w:sz w:val="16"/>
                <w:szCs w:val="16"/>
                <w:lang w:val="en-GB"/>
              </w:rPr>
              <w:t>Return on owners’ equity</w:t>
            </w:r>
          </w:p>
        </w:tc>
        <w:tc>
          <w:tcPr>
            <w:tcW w:w="1842" w:type="dxa"/>
            <w:gridSpan w:val="2"/>
            <w:tcBorders>
              <w:top w:val="nil"/>
              <w:left w:val="nil"/>
              <w:bottom w:val="nil"/>
              <w:right w:val="nil"/>
            </w:tcBorders>
            <w:noWrap/>
            <w:tcMar>
              <w:top w:w="0" w:type="dxa"/>
              <w:left w:w="15" w:type="dxa"/>
              <w:bottom w:w="0" w:type="dxa"/>
              <w:right w:w="15" w:type="dxa"/>
            </w:tcMar>
            <w:vAlign w:val="bottom"/>
          </w:tcPr>
          <w:p w:rsidR="00DD0118" w:rsidRPr="005D1DFB" w:rsidRDefault="005D1DFB" w:rsidP="005D1DFB">
            <w:pPr>
              <w:jc w:val="right"/>
              <w:rPr>
                <w:rFonts w:ascii="Verdana" w:hAnsi="Verdana"/>
                <w:noProof/>
                <w:sz w:val="16"/>
                <w:szCs w:val="16"/>
              </w:rPr>
            </w:pPr>
            <w:r w:rsidRPr="005D1DFB">
              <w:rPr>
                <w:rFonts w:ascii="Verdana" w:hAnsi="Verdana"/>
                <w:noProof/>
                <w:sz w:val="16"/>
                <w:szCs w:val="16"/>
              </w:rPr>
              <w:t>(3.6</w:t>
            </w:r>
            <w:r w:rsidR="00DD0118" w:rsidRPr="005D1DFB">
              <w:rPr>
                <w:rFonts w:ascii="Verdana" w:hAnsi="Verdana"/>
                <w:noProof/>
                <w:sz w:val="16"/>
                <w:szCs w:val="16"/>
              </w:rPr>
              <w:t>%</w:t>
            </w:r>
            <w:r w:rsidRPr="005D1DFB">
              <w:rPr>
                <w:rFonts w:ascii="Verdana" w:hAnsi="Verdana"/>
                <w:noProof/>
                <w:sz w:val="16"/>
                <w:szCs w:val="16"/>
              </w:rPr>
              <w:t>)</w:t>
            </w:r>
          </w:p>
        </w:tc>
        <w:tc>
          <w:tcPr>
            <w:tcW w:w="1418" w:type="dxa"/>
            <w:tcBorders>
              <w:top w:val="nil"/>
              <w:left w:val="nil"/>
              <w:bottom w:val="nil"/>
              <w:right w:val="nil"/>
            </w:tcBorders>
            <w:noWrap/>
            <w:tcMar>
              <w:top w:w="0" w:type="dxa"/>
              <w:left w:w="15" w:type="dxa"/>
              <w:bottom w:w="0" w:type="dxa"/>
              <w:right w:w="15" w:type="dxa"/>
            </w:tcMar>
            <w:vAlign w:val="bottom"/>
          </w:tcPr>
          <w:p w:rsidR="00DD0118" w:rsidRPr="008C2F72" w:rsidRDefault="00DD0118" w:rsidP="00DD0118">
            <w:pPr>
              <w:jc w:val="right"/>
              <w:rPr>
                <w:rFonts w:ascii="Verdana" w:hAnsi="Verdana"/>
                <w:noProof/>
                <w:sz w:val="16"/>
                <w:szCs w:val="16"/>
              </w:rPr>
            </w:pPr>
            <w:r w:rsidRPr="008C2F72">
              <w:rPr>
                <w:rFonts w:ascii="Verdana" w:hAnsi="Verdana"/>
                <w:noProof/>
                <w:sz w:val="16"/>
                <w:szCs w:val="16"/>
              </w:rPr>
              <w:t>3</w:t>
            </w:r>
            <w:r>
              <w:rPr>
                <w:rFonts w:ascii="Verdana" w:hAnsi="Verdana"/>
                <w:noProof/>
                <w:sz w:val="16"/>
                <w:szCs w:val="16"/>
              </w:rPr>
              <w:t>.</w:t>
            </w:r>
            <w:r w:rsidRPr="008C2F72">
              <w:rPr>
                <w:rFonts w:ascii="Verdana" w:hAnsi="Verdana"/>
                <w:noProof/>
                <w:sz w:val="16"/>
                <w:szCs w:val="16"/>
              </w:rPr>
              <w:t>7%</w:t>
            </w:r>
          </w:p>
        </w:tc>
      </w:tr>
      <w:tr w:rsidR="00DD0118" w:rsidRPr="00353FCF" w:rsidTr="004035FC">
        <w:trPr>
          <w:trHeight w:val="255"/>
        </w:trPr>
        <w:tc>
          <w:tcPr>
            <w:tcW w:w="3276" w:type="dxa"/>
            <w:tcBorders>
              <w:top w:val="nil"/>
              <w:left w:val="nil"/>
              <w:bottom w:val="nil"/>
              <w:right w:val="nil"/>
            </w:tcBorders>
            <w:noWrap/>
            <w:tcMar>
              <w:top w:w="0" w:type="dxa"/>
              <w:left w:w="15" w:type="dxa"/>
              <w:bottom w:w="0" w:type="dxa"/>
              <w:right w:w="15" w:type="dxa"/>
            </w:tcMar>
            <w:vAlign w:val="bottom"/>
          </w:tcPr>
          <w:p w:rsidR="00DD0118" w:rsidRPr="00353FCF" w:rsidRDefault="00DD0118" w:rsidP="004035FC">
            <w:pPr>
              <w:jc w:val="both"/>
              <w:rPr>
                <w:rFonts w:ascii="Verdana" w:hAnsi="Verdana"/>
                <w:noProof/>
                <w:sz w:val="16"/>
                <w:szCs w:val="16"/>
                <w:lang w:val="en-GB"/>
              </w:rPr>
            </w:pPr>
            <w:r w:rsidRPr="00353FCF">
              <w:rPr>
                <w:rFonts w:ascii="Verdana" w:hAnsi="Verdana"/>
                <w:noProof/>
                <w:sz w:val="16"/>
                <w:szCs w:val="16"/>
                <w:lang w:val="en-GB"/>
              </w:rPr>
              <w:t>Current ratio</w:t>
            </w:r>
          </w:p>
        </w:tc>
        <w:tc>
          <w:tcPr>
            <w:tcW w:w="1842" w:type="dxa"/>
            <w:gridSpan w:val="2"/>
            <w:tcBorders>
              <w:top w:val="nil"/>
              <w:left w:val="nil"/>
              <w:bottom w:val="nil"/>
              <w:right w:val="nil"/>
            </w:tcBorders>
            <w:noWrap/>
            <w:tcMar>
              <w:top w:w="0" w:type="dxa"/>
              <w:left w:w="15" w:type="dxa"/>
              <w:bottom w:w="0" w:type="dxa"/>
              <w:right w:w="15" w:type="dxa"/>
            </w:tcMar>
            <w:vAlign w:val="bottom"/>
          </w:tcPr>
          <w:p w:rsidR="00DD0118" w:rsidRPr="00A41150" w:rsidRDefault="00DD0118" w:rsidP="00DD0118">
            <w:pPr>
              <w:jc w:val="right"/>
              <w:rPr>
                <w:rFonts w:ascii="Verdana" w:hAnsi="Verdana"/>
                <w:noProof/>
                <w:sz w:val="16"/>
                <w:szCs w:val="16"/>
              </w:rPr>
            </w:pPr>
            <w:r w:rsidRPr="00A41150">
              <w:rPr>
                <w:rFonts w:ascii="Verdana" w:hAnsi="Verdana"/>
                <w:noProof/>
                <w:sz w:val="16"/>
                <w:szCs w:val="16"/>
              </w:rPr>
              <w:t>1.0</w:t>
            </w:r>
          </w:p>
        </w:tc>
        <w:tc>
          <w:tcPr>
            <w:tcW w:w="1418" w:type="dxa"/>
            <w:tcBorders>
              <w:top w:val="nil"/>
              <w:left w:val="nil"/>
              <w:bottom w:val="nil"/>
              <w:right w:val="nil"/>
            </w:tcBorders>
            <w:noWrap/>
            <w:tcMar>
              <w:top w:w="0" w:type="dxa"/>
              <w:left w:w="15" w:type="dxa"/>
              <w:bottom w:w="0" w:type="dxa"/>
              <w:right w:w="15" w:type="dxa"/>
            </w:tcMar>
            <w:vAlign w:val="bottom"/>
          </w:tcPr>
          <w:p w:rsidR="00DD0118" w:rsidRPr="008C2F72" w:rsidRDefault="00DD0118" w:rsidP="00DD0118">
            <w:pPr>
              <w:jc w:val="right"/>
              <w:rPr>
                <w:rFonts w:ascii="Verdana" w:hAnsi="Verdana"/>
                <w:noProof/>
                <w:sz w:val="16"/>
                <w:szCs w:val="16"/>
              </w:rPr>
            </w:pPr>
            <w:r w:rsidRPr="008C2F72">
              <w:rPr>
                <w:rFonts w:ascii="Verdana" w:hAnsi="Verdana"/>
                <w:noProof/>
                <w:sz w:val="16"/>
                <w:szCs w:val="16"/>
              </w:rPr>
              <w:t>1</w:t>
            </w:r>
            <w:r>
              <w:rPr>
                <w:rFonts w:ascii="Verdana" w:hAnsi="Verdana"/>
                <w:noProof/>
                <w:sz w:val="16"/>
                <w:szCs w:val="16"/>
              </w:rPr>
              <w:t>.</w:t>
            </w:r>
            <w:r w:rsidRPr="008C2F72">
              <w:rPr>
                <w:rFonts w:ascii="Verdana" w:hAnsi="Verdana"/>
                <w:noProof/>
                <w:sz w:val="16"/>
                <w:szCs w:val="16"/>
              </w:rPr>
              <w:t>9</w:t>
            </w:r>
          </w:p>
        </w:tc>
      </w:tr>
      <w:tr w:rsidR="00DD0118" w:rsidRPr="00353FCF" w:rsidTr="004035FC">
        <w:trPr>
          <w:trHeight w:val="255"/>
        </w:trPr>
        <w:tc>
          <w:tcPr>
            <w:tcW w:w="3276" w:type="dxa"/>
            <w:tcBorders>
              <w:top w:val="nil"/>
              <w:left w:val="nil"/>
              <w:bottom w:val="nil"/>
              <w:right w:val="nil"/>
            </w:tcBorders>
            <w:noWrap/>
            <w:tcMar>
              <w:top w:w="0" w:type="dxa"/>
              <w:left w:w="15" w:type="dxa"/>
              <w:bottom w:w="0" w:type="dxa"/>
              <w:right w:w="15" w:type="dxa"/>
            </w:tcMar>
            <w:vAlign w:val="bottom"/>
          </w:tcPr>
          <w:p w:rsidR="00DD0118" w:rsidRPr="00353FCF" w:rsidRDefault="00DD0118" w:rsidP="004035FC">
            <w:pPr>
              <w:jc w:val="both"/>
              <w:rPr>
                <w:rFonts w:ascii="Verdana" w:hAnsi="Verdana"/>
                <w:noProof/>
                <w:sz w:val="16"/>
                <w:szCs w:val="16"/>
                <w:lang w:val="en-GB"/>
              </w:rPr>
            </w:pPr>
            <w:r w:rsidRPr="00353FCF">
              <w:rPr>
                <w:rFonts w:ascii="Verdana" w:hAnsi="Verdana"/>
                <w:noProof/>
                <w:sz w:val="16"/>
                <w:szCs w:val="16"/>
                <w:lang w:val="en-GB"/>
              </w:rPr>
              <w:t>Quick ratio</w:t>
            </w:r>
          </w:p>
        </w:tc>
        <w:tc>
          <w:tcPr>
            <w:tcW w:w="1842" w:type="dxa"/>
            <w:gridSpan w:val="2"/>
            <w:tcBorders>
              <w:top w:val="nil"/>
              <w:left w:val="nil"/>
              <w:bottom w:val="nil"/>
              <w:right w:val="nil"/>
            </w:tcBorders>
            <w:noWrap/>
            <w:tcMar>
              <w:top w:w="0" w:type="dxa"/>
              <w:left w:w="15" w:type="dxa"/>
              <w:bottom w:w="0" w:type="dxa"/>
              <w:right w:w="15" w:type="dxa"/>
            </w:tcMar>
            <w:vAlign w:val="bottom"/>
          </w:tcPr>
          <w:p w:rsidR="00DD0118" w:rsidRPr="00A41150" w:rsidRDefault="00DD0118" w:rsidP="00DD0118">
            <w:pPr>
              <w:jc w:val="right"/>
              <w:rPr>
                <w:rFonts w:ascii="Verdana" w:hAnsi="Verdana"/>
                <w:noProof/>
                <w:sz w:val="16"/>
                <w:szCs w:val="16"/>
              </w:rPr>
            </w:pPr>
            <w:r w:rsidRPr="00A41150">
              <w:rPr>
                <w:rFonts w:ascii="Verdana" w:hAnsi="Verdana"/>
                <w:noProof/>
                <w:sz w:val="16"/>
                <w:szCs w:val="16"/>
              </w:rPr>
              <w:t>0.5</w:t>
            </w:r>
          </w:p>
        </w:tc>
        <w:tc>
          <w:tcPr>
            <w:tcW w:w="1418" w:type="dxa"/>
            <w:tcBorders>
              <w:top w:val="nil"/>
              <w:left w:val="nil"/>
              <w:bottom w:val="nil"/>
              <w:right w:val="nil"/>
            </w:tcBorders>
            <w:noWrap/>
            <w:tcMar>
              <w:top w:w="0" w:type="dxa"/>
              <w:left w:w="15" w:type="dxa"/>
              <w:bottom w:w="0" w:type="dxa"/>
              <w:right w:w="15" w:type="dxa"/>
            </w:tcMar>
            <w:vAlign w:val="bottom"/>
          </w:tcPr>
          <w:p w:rsidR="00DD0118" w:rsidRPr="008C2F72" w:rsidRDefault="00DD0118" w:rsidP="00DD0118">
            <w:pPr>
              <w:jc w:val="right"/>
              <w:rPr>
                <w:rFonts w:ascii="Verdana" w:hAnsi="Verdana"/>
                <w:noProof/>
                <w:sz w:val="16"/>
                <w:szCs w:val="16"/>
              </w:rPr>
            </w:pPr>
            <w:r w:rsidRPr="008C2F72">
              <w:rPr>
                <w:rFonts w:ascii="Verdana" w:hAnsi="Verdana"/>
                <w:noProof/>
                <w:sz w:val="16"/>
                <w:szCs w:val="16"/>
              </w:rPr>
              <w:t>1</w:t>
            </w:r>
            <w:r>
              <w:rPr>
                <w:rFonts w:ascii="Verdana" w:hAnsi="Verdana"/>
                <w:noProof/>
                <w:sz w:val="16"/>
                <w:szCs w:val="16"/>
              </w:rPr>
              <w:t>.</w:t>
            </w:r>
            <w:r w:rsidRPr="008C2F72">
              <w:rPr>
                <w:rFonts w:ascii="Verdana" w:hAnsi="Verdana"/>
                <w:noProof/>
                <w:sz w:val="16"/>
                <w:szCs w:val="16"/>
              </w:rPr>
              <w:t>3</w:t>
            </w:r>
          </w:p>
        </w:tc>
      </w:tr>
      <w:tr w:rsidR="00DD0118" w:rsidRPr="00353FCF" w:rsidTr="004035FC">
        <w:trPr>
          <w:trHeight w:val="255"/>
        </w:trPr>
        <w:tc>
          <w:tcPr>
            <w:tcW w:w="3276" w:type="dxa"/>
            <w:tcBorders>
              <w:top w:val="nil"/>
              <w:left w:val="nil"/>
              <w:bottom w:val="nil"/>
              <w:right w:val="nil"/>
            </w:tcBorders>
            <w:noWrap/>
            <w:tcMar>
              <w:top w:w="0" w:type="dxa"/>
              <w:left w:w="15" w:type="dxa"/>
              <w:bottom w:w="0" w:type="dxa"/>
              <w:right w:w="15" w:type="dxa"/>
            </w:tcMar>
            <w:vAlign w:val="bottom"/>
          </w:tcPr>
          <w:p w:rsidR="00DD0118" w:rsidRPr="00353FCF" w:rsidRDefault="00DD0118" w:rsidP="004035FC">
            <w:pPr>
              <w:jc w:val="both"/>
              <w:rPr>
                <w:rFonts w:ascii="Verdana" w:hAnsi="Verdana"/>
                <w:noProof/>
                <w:sz w:val="16"/>
                <w:szCs w:val="16"/>
                <w:lang w:val="en-GB"/>
              </w:rPr>
            </w:pPr>
            <w:r w:rsidRPr="00353FCF">
              <w:rPr>
                <w:rFonts w:ascii="Verdana" w:hAnsi="Verdana"/>
                <w:noProof/>
                <w:sz w:val="16"/>
                <w:szCs w:val="16"/>
                <w:lang w:val="en-GB"/>
              </w:rPr>
              <w:t>Equity ratio</w:t>
            </w:r>
          </w:p>
        </w:tc>
        <w:tc>
          <w:tcPr>
            <w:tcW w:w="1842" w:type="dxa"/>
            <w:gridSpan w:val="2"/>
            <w:tcBorders>
              <w:top w:val="nil"/>
              <w:left w:val="nil"/>
              <w:bottom w:val="nil"/>
              <w:right w:val="nil"/>
            </w:tcBorders>
            <w:noWrap/>
            <w:tcMar>
              <w:top w:w="0" w:type="dxa"/>
              <w:left w:w="15" w:type="dxa"/>
              <w:bottom w:w="0" w:type="dxa"/>
              <w:right w:w="15" w:type="dxa"/>
            </w:tcMar>
            <w:vAlign w:val="bottom"/>
          </w:tcPr>
          <w:p w:rsidR="00DD0118" w:rsidRPr="00A41150" w:rsidRDefault="00DD0118" w:rsidP="00726CCE">
            <w:pPr>
              <w:jc w:val="right"/>
              <w:rPr>
                <w:rFonts w:ascii="Verdana" w:hAnsi="Verdana"/>
                <w:noProof/>
                <w:sz w:val="16"/>
                <w:szCs w:val="16"/>
              </w:rPr>
            </w:pPr>
            <w:r w:rsidRPr="00A41150">
              <w:rPr>
                <w:rFonts w:ascii="Verdana" w:hAnsi="Verdana"/>
                <w:noProof/>
                <w:sz w:val="16"/>
                <w:szCs w:val="16"/>
              </w:rPr>
              <w:t>3</w:t>
            </w:r>
            <w:r w:rsidR="00726CCE">
              <w:rPr>
                <w:rFonts w:ascii="Verdana" w:hAnsi="Verdana"/>
                <w:noProof/>
                <w:sz w:val="16"/>
                <w:szCs w:val="16"/>
              </w:rPr>
              <w:t>1</w:t>
            </w:r>
            <w:r w:rsidRPr="00A41150">
              <w:rPr>
                <w:rFonts w:ascii="Verdana" w:hAnsi="Verdana"/>
                <w:noProof/>
                <w:sz w:val="16"/>
                <w:szCs w:val="16"/>
              </w:rPr>
              <w:t>.</w:t>
            </w:r>
            <w:r w:rsidR="00726CCE">
              <w:rPr>
                <w:rFonts w:ascii="Verdana" w:hAnsi="Verdana"/>
                <w:noProof/>
                <w:sz w:val="16"/>
                <w:szCs w:val="16"/>
              </w:rPr>
              <w:t>1</w:t>
            </w:r>
            <w:r w:rsidRPr="00A41150">
              <w:rPr>
                <w:rFonts w:ascii="Verdana" w:hAnsi="Verdana"/>
                <w:noProof/>
                <w:sz w:val="16"/>
                <w:szCs w:val="16"/>
              </w:rPr>
              <w:t>%</w:t>
            </w:r>
          </w:p>
        </w:tc>
        <w:tc>
          <w:tcPr>
            <w:tcW w:w="1418" w:type="dxa"/>
            <w:tcBorders>
              <w:top w:val="nil"/>
              <w:left w:val="nil"/>
              <w:bottom w:val="nil"/>
              <w:right w:val="nil"/>
            </w:tcBorders>
            <w:noWrap/>
            <w:tcMar>
              <w:top w:w="0" w:type="dxa"/>
              <w:left w:w="15" w:type="dxa"/>
              <w:bottom w:w="0" w:type="dxa"/>
              <w:right w:w="15" w:type="dxa"/>
            </w:tcMar>
            <w:vAlign w:val="bottom"/>
          </w:tcPr>
          <w:p w:rsidR="00DD0118" w:rsidRPr="008C2F72" w:rsidRDefault="00DD0118" w:rsidP="00DD0118">
            <w:pPr>
              <w:jc w:val="right"/>
              <w:rPr>
                <w:rFonts w:ascii="Verdana" w:hAnsi="Verdana"/>
                <w:noProof/>
                <w:sz w:val="16"/>
                <w:szCs w:val="16"/>
              </w:rPr>
            </w:pPr>
            <w:r w:rsidRPr="008C2F72">
              <w:rPr>
                <w:rFonts w:ascii="Verdana" w:hAnsi="Verdana"/>
                <w:noProof/>
                <w:sz w:val="16"/>
                <w:szCs w:val="16"/>
              </w:rPr>
              <w:t>42</w:t>
            </w:r>
            <w:r>
              <w:rPr>
                <w:rFonts w:ascii="Verdana" w:hAnsi="Verdana"/>
                <w:noProof/>
                <w:sz w:val="16"/>
                <w:szCs w:val="16"/>
              </w:rPr>
              <w:t>.</w:t>
            </w:r>
            <w:r w:rsidRPr="008C2F72">
              <w:rPr>
                <w:rFonts w:ascii="Verdana" w:hAnsi="Verdana"/>
                <w:noProof/>
                <w:sz w:val="16"/>
                <w:szCs w:val="16"/>
              </w:rPr>
              <w:t>5%</w:t>
            </w:r>
          </w:p>
        </w:tc>
      </w:tr>
      <w:tr w:rsidR="00DD0118" w:rsidRPr="00353FCF" w:rsidTr="004035FC">
        <w:trPr>
          <w:trHeight w:val="676"/>
        </w:trPr>
        <w:tc>
          <w:tcPr>
            <w:tcW w:w="3276" w:type="dxa"/>
            <w:tcBorders>
              <w:top w:val="nil"/>
              <w:left w:val="nil"/>
              <w:bottom w:val="nil"/>
              <w:right w:val="nil"/>
            </w:tcBorders>
            <w:noWrap/>
            <w:tcMar>
              <w:top w:w="0" w:type="dxa"/>
              <w:left w:w="15" w:type="dxa"/>
              <w:bottom w:w="0" w:type="dxa"/>
              <w:right w:w="15" w:type="dxa"/>
            </w:tcMar>
            <w:vAlign w:val="bottom"/>
          </w:tcPr>
          <w:p w:rsidR="00DD0118" w:rsidRPr="00353FCF" w:rsidRDefault="00DD0118" w:rsidP="004035FC">
            <w:pPr>
              <w:jc w:val="both"/>
              <w:rPr>
                <w:rFonts w:ascii="Verdana" w:hAnsi="Verdana"/>
                <w:noProof/>
                <w:sz w:val="16"/>
                <w:szCs w:val="16"/>
                <w:lang w:val="en-GB"/>
              </w:rPr>
            </w:pPr>
            <w:r w:rsidRPr="00353FCF">
              <w:rPr>
                <w:rFonts w:ascii="Verdana" w:hAnsi="Verdana"/>
                <w:noProof/>
                <w:sz w:val="16"/>
                <w:szCs w:val="16"/>
                <w:lang w:val="en-GB"/>
              </w:rPr>
              <w:t>Earnings per share in euro cents for the past 12 months with Stork Food Systems</w:t>
            </w:r>
          </w:p>
        </w:tc>
        <w:tc>
          <w:tcPr>
            <w:tcW w:w="1842" w:type="dxa"/>
            <w:gridSpan w:val="2"/>
            <w:tcBorders>
              <w:top w:val="nil"/>
              <w:left w:val="nil"/>
              <w:bottom w:val="nil"/>
              <w:right w:val="nil"/>
            </w:tcBorders>
            <w:noWrap/>
            <w:tcMar>
              <w:top w:w="0" w:type="dxa"/>
              <w:left w:w="15" w:type="dxa"/>
              <w:bottom w:w="0" w:type="dxa"/>
              <w:right w:w="15" w:type="dxa"/>
            </w:tcMar>
            <w:vAlign w:val="bottom"/>
          </w:tcPr>
          <w:p w:rsidR="00DD0118" w:rsidRPr="00A41150" w:rsidRDefault="00726CCE" w:rsidP="00DD0118">
            <w:pPr>
              <w:jc w:val="right"/>
              <w:rPr>
                <w:rFonts w:ascii="Verdana" w:hAnsi="Verdana"/>
                <w:noProof/>
                <w:sz w:val="16"/>
                <w:szCs w:val="16"/>
              </w:rPr>
            </w:pPr>
            <w:r>
              <w:rPr>
                <w:rFonts w:ascii="Verdana" w:hAnsi="Verdana"/>
                <w:noProof/>
                <w:sz w:val="16"/>
                <w:szCs w:val="16"/>
              </w:rPr>
              <w:t>-</w:t>
            </w:r>
          </w:p>
        </w:tc>
        <w:tc>
          <w:tcPr>
            <w:tcW w:w="1418" w:type="dxa"/>
            <w:tcBorders>
              <w:top w:val="nil"/>
              <w:left w:val="nil"/>
              <w:bottom w:val="nil"/>
              <w:right w:val="nil"/>
            </w:tcBorders>
            <w:noWrap/>
            <w:tcMar>
              <w:top w:w="0" w:type="dxa"/>
              <w:left w:w="15" w:type="dxa"/>
              <w:bottom w:w="0" w:type="dxa"/>
              <w:right w:w="15" w:type="dxa"/>
            </w:tcMar>
            <w:vAlign w:val="bottom"/>
          </w:tcPr>
          <w:p w:rsidR="00DD0118" w:rsidRPr="008C2F72" w:rsidRDefault="00DD0118" w:rsidP="00DD0118">
            <w:pPr>
              <w:jc w:val="right"/>
              <w:rPr>
                <w:rFonts w:ascii="Verdana" w:hAnsi="Verdana"/>
                <w:noProof/>
                <w:sz w:val="16"/>
                <w:szCs w:val="16"/>
              </w:rPr>
            </w:pPr>
            <w:r w:rsidRPr="008C2F72">
              <w:rPr>
                <w:rFonts w:ascii="Verdana" w:hAnsi="Verdana"/>
                <w:noProof/>
                <w:sz w:val="16"/>
                <w:szCs w:val="16"/>
              </w:rPr>
              <w:t>1</w:t>
            </w:r>
            <w:r>
              <w:rPr>
                <w:rFonts w:ascii="Verdana" w:hAnsi="Verdana"/>
                <w:noProof/>
                <w:sz w:val="16"/>
                <w:szCs w:val="16"/>
              </w:rPr>
              <w:t>.</w:t>
            </w:r>
            <w:r w:rsidRPr="008C2F72">
              <w:rPr>
                <w:rFonts w:ascii="Verdana" w:hAnsi="Verdana"/>
                <w:noProof/>
                <w:sz w:val="16"/>
                <w:szCs w:val="16"/>
              </w:rPr>
              <w:t>65</w:t>
            </w:r>
          </w:p>
        </w:tc>
      </w:tr>
      <w:tr w:rsidR="00DD0118" w:rsidRPr="00353FCF" w:rsidTr="004035FC">
        <w:trPr>
          <w:trHeight w:val="255"/>
        </w:trPr>
        <w:tc>
          <w:tcPr>
            <w:tcW w:w="3276" w:type="dxa"/>
            <w:tcBorders>
              <w:top w:val="nil"/>
              <w:left w:val="nil"/>
              <w:bottom w:val="nil"/>
              <w:right w:val="nil"/>
            </w:tcBorders>
            <w:noWrap/>
            <w:tcMar>
              <w:top w:w="0" w:type="dxa"/>
              <w:left w:w="15" w:type="dxa"/>
              <w:bottom w:w="0" w:type="dxa"/>
              <w:right w:w="15" w:type="dxa"/>
            </w:tcMar>
            <w:vAlign w:val="bottom"/>
          </w:tcPr>
          <w:p w:rsidR="00DD0118" w:rsidRPr="00353FCF" w:rsidRDefault="00DD0118" w:rsidP="004035FC">
            <w:pPr>
              <w:spacing w:before="120"/>
              <w:jc w:val="both"/>
              <w:rPr>
                <w:rFonts w:ascii="Verdana" w:hAnsi="Verdana"/>
                <w:noProof/>
                <w:sz w:val="16"/>
                <w:szCs w:val="16"/>
                <w:lang w:val="en-GB"/>
              </w:rPr>
            </w:pPr>
            <w:r w:rsidRPr="00353FCF">
              <w:rPr>
                <w:rFonts w:ascii="Verdana" w:hAnsi="Verdana"/>
                <w:noProof/>
                <w:sz w:val="16"/>
                <w:szCs w:val="16"/>
                <w:lang w:val="en-GB"/>
              </w:rPr>
              <w:t>Market cap. in millions of euros based on exchange rate at end of period</w:t>
            </w:r>
          </w:p>
        </w:tc>
        <w:tc>
          <w:tcPr>
            <w:tcW w:w="1842" w:type="dxa"/>
            <w:gridSpan w:val="2"/>
            <w:tcBorders>
              <w:top w:val="nil"/>
              <w:left w:val="nil"/>
              <w:bottom w:val="nil"/>
              <w:right w:val="nil"/>
            </w:tcBorders>
            <w:noWrap/>
            <w:tcMar>
              <w:top w:w="0" w:type="dxa"/>
              <w:left w:w="15" w:type="dxa"/>
              <w:bottom w:w="0" w:type="dxa"/>
              <w:right w:w="15" w:type="dxa"/>
            </w:tcMar>
            <w:vAlign w:val="bottom"/>
          </w:tcPr>
          <w:p w:rsidR="00DD0118" w:rsidRPr="00FA6496" w:rsidRDefault="00DD0118" w:rsidP="00DD0118">
            <w:pPr>
              <w:spacing w:before="120"/>
              <w:jc w:val="right"/>
              <w:rPr>
                <w:rFonts w:ascii="Verdana" w:hAnsi="Verdana"/>
                <w:noProof/>
                <w:sz w:val="16"/>
                <w:szCs w:val="16"/>
                <w:highlight w:val="yellow"/>
              </w:rPr>
            </w:pPr>
            <w:r w:rsidRPr="008E368C">
              <w:rPr>
                <w:rFonts w:ascii="Verdana" w:hAnsi="Verdana"/>
                <w:noProof/>
                <w:sz w:val="16"/>
                <w:szCs w:val="16"/>
              </w:rPr>
              <w:t>265</w:t>
            </w:r>
            <w:r>
              <w:rPr>
                <w:rFonts w:ascii="Verdana" w:hAnsi="Verdana"/>
                <w:noProof/>
                <w:sz w:val="16"/>
                <w:szCs w:val="16"/>
              </w:rPr>
              <w:t>.</w:t>
            </w:r>
            <w:r w:rsidRPr="008E368C">
              <w:rPr>
                <w:rFonts w:ascii="Verdana" w:hAnsi="Verdana"/>
                <w:noProof/>
                <w:sz w:val="16"/>
                <w:szCs w:val="16"/>
              </w:rPr>
              <w:t>8</w:t>
            </w:r>
          </w:p>
        </w:tc>
        <w:tc>
          <w:tcPr>
            <w:tcW w:w="1418" w:type="dxa"/>
            <w:tcBorders>
              <w:top w:val="nil"/>
              <w:left w:val="nil"/>
              <w:bottom w:val="nil"/>
              <w:right w:val="nil"/>
            </w:tcBorders>
            <w:noWrap/>
            <w:tcMar>
              <w:top w:w="0" w:type="dxa"/>
              <w:left w:w="15" w:type="dxa"/>
              <w:bottom w:w="0" w:type="dxa"/>
              <w:right w:w="15" w:type="dxa"/>
            </w:tcMar>
            <w:vAlign w:val="bottom"/>
          </w:tcPr>
          <w:p w:rsidR="00DD0118" w:rsidRPr="008C2F72" w:rsidRDefault="00DD0118" w:rsidP="00DD0118">
            <w:pPr>
              <w:spacing w:before="120"/>
              <w:jc w:val="right"/>
              <w:rPr>
                <w:rFonts w:ascii="Verdana" w:hAnsi="Verdana"/>
                <w:noProof/>
                <w:sz w:val="16"/>
                <w:szCs w:val="16"/>
              </w:rPr>
            </w:pPr>
            <w:r>
              <w:rPr>
                <w:rFonts w:ascii="Verdana" w:hAnsi="Verdana"/>
                <w:noProof/>
                <w:sz w:val="16"/>
                <w:szCs w:val="16"/>
              </w:rPr>
              <w:t>449.5</w:t>
            </w:r>
          </w:p>
        </w:tc>
      </w:tr>
    </w:tbl>
    <w:p w:rsidR="002F6CAB" w:rsidRPr="00353FCF" w:rsidRDefault="002F6CAB" w:rsidP="006452AA">
      <w:pPr>
        <w:autoSpaceDE w:val="0"/>
        <w:autoSpaceDN w:val="0"/>
        <w:adjustRightInd w:val="0"/>
        <w:jc w:val="both"/>
        <w:rPr>
          <w:rFonts w:ascii="Verdana" w:hAnsi="Verdana" w:cs="Verdana"/>
          <w:sz w:val="16"/>
          <w:szCs w:val="16"/>
          <w:lang w:val="en-GB"/>
        </w:rPr>
      </w:pPr>
    </w:p>
    <w:p w:rsidR="002F6CAB" w:rsidRPr="00353FCF" w:rsidRDefault="002F6CAB" w:rsidP="006452AA">
      <w:pPr>
        <w:autoSpaceDE w:val="0"/>
        <w:autoSpaceDN w:val="0"/>
        <w:adjustRightInd w:val="0"/>
        <w:jc w:val="both"/>
        <w:rPr>
          <w:rFonts w:ascii="Verdana" w:hAnsi="Verdana" w:cs="Verdana"/>
          <w:sz w:val="16"/>
          <w:szCs w:val="16"/>
          <w:lang w:val="en-GB"/>
        </w:rPr>
      </w:pPr>
    </w:p>
    <w:p w:rsidR="002F6CAB" w:rsidRPr="00353FCF" w:rsidRDefault="002F6CAB" w:rsidP="006452AA">
      <w:pPr>
        <w:autoSpaceDE w:val="0"/>
        <w:autoSpaceDN w:val="0"/>
        <w:adjustRightInd w:val="0"/>
        <w:jc w:val="both"/>
        <w:rPr>
          <w:rFonts w:ascii="Verdana" w:hAnsi="Verdana" w:cs="Verdana"/>
          <w:sz w:val="16"/>
          <w:szCs w:val="16"/>
          <w:lang w:val="en-GB"/>
        </w:rPr>
      </w:pPr>
    </w:p>
    <w:p w:rsidR="00704464" w:rsidRPr="00353FCF" w:rsidRDefault="00704464" w:rsidP="00704464">
      <w:pPr>
        <w:autoSpaceDE w:val="0"/>
        <w:autoSpaceDN w:val="0"/>
        <w:adjustRightInd w:val="0"/>
        <w:jc w:val="both"/>
        <w:rPr>
          <w:rFonts w:ascii="Verdana" w:hAnsi="Verdana" w:cs="Verdana"/>
          <w:color w:val="000000"/>
          <w:sz w:val="16"/>
          <w:szCs w:val="16"/>
          <w:lang w:val="en-GB"/>
        </w:rPr>
      </w:pPr>
      <w:r w:rsidRPr="00353FCF">
        <w:rPr>
          <w:rFonts w:ascii="Verdana" w:hAnsi="Verdana" w:cs="Verdana"/>
          <w:color w:val="000000"/>
          <w:sz w:val="16"/>
          <w:szCs w:val="16"/>
          <w:lang w:val="en-GB"/>
        </w:rPr>
        <w:t xml:space="preserve">Sales in 2008 totalled EUR </w:t>
      </w:r>
      <w:r w:rsidR="00DD0118">
        <w:rPr>
          <w:rFonts w:ascii="Verdana" w:hAnsi="Verdana" w:cs="Verdana"/>
          <w:color w:val="000000"/>
          <w:sz w:val="16"/>
          <w:szCs w:val="16"/>
          <w:lang w:val="en-GB"/>
        </w:rPr>
        <w:t>540.1</w:t>
      </w:r>
      <w:r w:rsidRPr="00353FCF">
        <w:rPr>
          <w:rFonts w:ascii="Verdana" w:hAnsi="Verdana" w:cs="Verdana"/>
          <w:color w:val="000000"/>
          <w:sz w:val="16"/>
          <w:szCs w:val="16"/>
          <w:lang w:val="en-GB"/>
        </w:rPr>
        <w:t xml:space="preserve"> million, compared with EUR 289.8 million for the year before. Sales have therefore increased by </w:t>
      </w:r>
      <w:r w:rsidR="00DD0118">
        <w:rPr>
          <w:rFonts w:ascii="Verdana" w:hAnsi="Verdana" w:cs="Verdana"/>
          <w:color w:val="000000"/>
          <w:sz w:val="16"/>
          <w:szCs w:val="16"/>
          <w:lang w:val="en-GB"/>
        </w:rPr>
        <w:t>86.4</w:t>
      </w:r>
      <w:r w:rsidRPr="00353FCF">
        <w:rPr>
          <w:rFonts w:ascii="Verdana" w:hAnsi="Verdana" w:cs="Verdana"/>
          <w:color w:val="000000"/>
          <w:sz w:val="16"/>
          <w:szCs w:val="16"/>
          <w:lang w:val="en-GB"/>
        </w:rPr>
        <w:t>%.</w:t>
      </w:r>
    </w:p>
    <w:p w:rsidR="00704464" w:rsidRPr="00353FCF" w:rsidRDefault="00704464" w:rsidP="00704464">
      <w:pPr>
        <w:pStyle w:val="BodyText"/>
        <w:tabs>
          <w:tab w:val="left" w:pos="1560"/>
          <w:tab w:val="right" w:pos="5103"/>
          <w:tab w:val="right" w:pos="5954"/>
        </w:tabs>
        <w:rPr>
          <w:rFonts w:ascii="Verdana" w:hAnsi="Verdana"/>
          <w:noProof/>
          <w:sz w:val="16"/>
          <w:szCs w:val="16"/>
          <w:lang w:val="en-GB"/>
        </w:rPr>
      </w:pPr>
      <w:r w:rsidRPr="00353FCF">
        <w:rPr>
          <w:rFonts w:ascii="Verdana" w:hAnsi="Verdana"/>
          <w:noProof/>
          <w:sz w:val="16"/>
          <w:szCs w:val="16"/>
          <w:lang w:val="en-GB"/>
        </w:rPr>
        <w:t>Net financ</w:t>
      </w:r>
      <w:r w:rsidR="00DD0118">
        <w:rPr>
          <w:rFonts w:ascii="Verdana" w:hAnsi="Verdana"/>
          <w:noProof/>
          <w:sz w:val="16"/>
          <w:szCs w:val="16"/>
          <w:lang w:val="en-GB"/>
        </w:rPr>
        <w:t>e</w:t>
      </w:r>
      <w:r w:rsidRPr="00353FCF">
        <w:rPr>
          <w:rFonts w:ascii="Verdana" w:hAnsi="Verdana"/>
          <w:noProof/>
          <w:sz w:val="16"/>
          <w:szCs w:val="16"/>
          <w:lang w:val="en-GB"/>
        </w:rPr>
        <w:t xml:space="preserve"> costs amounted to EUR </w:t>
      </w:r>
      <w:r w:rsidR="00DD0118">
        <w:rPr>
          <w:rFonts w:ascii="Verdana" w:hAnsi="Verdana"/>
          <w:noProof/>
          <w:sz w:val="16"/>
          <w:szCs w:val="16"/>
          <w:lang w:val="en-GB"/>
        </w:rPr>
        <w:t>-32.2</w:t>
      </w:r>
      <w:r w:rsidRPr="00353FCF">
        <w:rPr>
          <w:rFonts w:ascii="Verdana" w:hAnsi="Verdana"/>
          <w:noProof/>
          <w:sz w:val="16"/>
          <w:szCs w:val="16"/>
          <w:lang w:val="en-GB"/>
        </w:rPr>
        <w:t xml:space="preserve"> million, compared with EUR </w:t>
      </w:r>
      <w:r w:rsidR="00C60D10">
        <w:rPr>
          <w:rFonts w:ascii="Verdana" w:hAnsi="Verdana"/>
          <w:noProof/>
          <w:sz w:val="16"/>
          <w:szCs w:val="16"/>
          <w:lang w:val="en-GB"/>
        </w:rPr>
        <w:t>-</w:t>
      </w:r>
      <w:r w:rsidR="00DD0118">
        <w:rPr>
          <w:rFonts w:ascii="Verdana" w:hAnsi="Verdana"/>
          <w:noProof/>
          <w:sz w:val="16"/>
          <w:szCs w:val="16"/>
          <w:lang w:val="en-GB"/>
        </w:rPr>
        <w:t>7.1</w:t>
      </w:r>
      <w:r w:rsidRPr="00353FCF">
        <w:rPr>
          <w:rFonts w:ascii="Verdana" w:hAnsi="Verdana"/>
          <w:noProof/>
          <w:sz w:val="16"/>
          <w:szCs w:val="16"/>
          <w:lang w:val="en-GB"/>
        </w:rPr>
        <w:t xml:space="preserve"> million a year ago. Forward contracts related to operational costs in Icelandic kronas will be closed, and the calculated loss associated with them, EUR </w:t>
      </w:r>
      <w:r w:rsidR="00DD0118">
        <w:rPr>
          <w:rFonts w:ascii="Verdana" w:hAnsi="Verdana"/>
          <w:noProof/>
          <w:sz w:val="16"/>
          <w:szCs w:val="16"/>
          <w:lang w:val="en-GB"/>
        </w:rPr>
        <w:t>17</w:t>
      </w:r>
      <w:r w:rsidR="00726CCE">
        <w:rPr>
          <w:rFonts w:ascii="Verdana" w:hAnsi="Verdana"/>
          <w:noProof/>
          <w:sz w:val="16"/>
          <w:szCs w:val="16"/>
          <w:lang w:val="en-GB"/>
        </w:rPr>
        <w:t>.8</w:t>
      </w:r>
      <w:r w:rsidRPr="00353FCF">
        <w:rPr>
          <w:rFonts w:ascii="Verdana" w:hAnsi="Verdana"/>
          <w:noProof/>
          <w:sz w:val="16"/>
          <w:szCs w:val="16"/>
          <w:lang w:val="en-GB"/>
        </w:rPr>
        <w:t xml:space="preserve"> million, has been entered as cost of capital</w:t>
      </w:r>
      <w:r w:rsidR="00DD0118">
        <w:rPr>
          <w:rFonts w:ascii="Verdana" w:hAnsi="Verdana"/>
          <w:noProof/>
          <w:sz w:val="16"/>
          <w:szCs w:val="16"/>
          <w:lang w:val="en-GB"/>
        </w:rPr>
        <w:t xml:space="preserve"> </w:t>
      </w:r>
      <w:r w:rsidR="006B537B">
        <w:rPr>
          <w:rFonts w:ascii="Verdana" w:hAnsi="Verdana"/>
          <w:noProof/>
          <w:sz w:val="16"/>
          <w:szCs w:val="16"/>
          <w:lang w:val="en-GB"/>
        </w:rPr>
        <w:t>for</w:t>
      </w:r>
      <w:r w:rsidR="00DD0118">
        <w:rPr>
          <w:rFonts w:ascii="Verdana" w:hAnsi="Verdana"/>
          <w:noProof/>
          <w:sz w:val="16"/>
          <w:szCs w:val="16"/>
          <w:lang w:val="en-GB"/>
        </w:rPr>
        <w:t xml:space="preserve"> 2008</w:t>
      </w:r>
      <w:r w:rsidRPr="00353FCF">
        <w:rPr>
          <w:rFonts w:ascii="Verdana" w:hAnsi="Verdana"/>
          <w:noProof/>
          <w:sz w:val="16"/>
          <w:szCs w:val="16"/>
          <w:lang w:val="en-GB"/>
        </w:rPr>
        <w:t>.</w:t>
      </w:r>
    </w:p>
    <w:p w:rsidR="00704464" w:rsidRDefault="00704464" w:rsidP="00704464">
      <w:pPr>
        <w:autoSpaceDE w:val="0"/>
        <w:autoSpaceDN w:val="0"/>
        <w:adjustRightInd w:val="0"/>
        <w:jc w:val="both"/>
        <w:rPr>
          <w:rFonts w:ascii="Verdana" w:hAnsi="Verdana" w:cs="Verdana"/>
          <w:color w:val="000000"/>
          <w:sz w:val="16"/>
          <w:szCs w:val="16"/>
          <w:lang w:val="en-GB"/>
        </w:rPr>
      </w:pPr>
    </w:p>
    <w:p w:rsidR="00704464" w:rsidRPr="00353FCF" w:rsidRDefault="00704464" w:rsidP="00704464">
      <w:pPr>
        <w:autoSpaceDE w:val="0"/>
        <w:autoSpaceDN w:val="0"/>
        <w:adjustRightInd w:val="0"/>
        <w:jc w:val="both"/>
        <w:rPr>
          <w:rFonts w:ascii="Verdana" w:hAnsi="Verdana" w:cs="Verdana"/>
          <w:sz w:val="16"/>
          <w:szCs w:val="16"/>
          <w:lang w:val="en-GB"/>
        </w:rPr>
      </w:pPr>
      <w:r w:rsidRPr="00353FCF">
        <w:rPr>
          <w:rFonts w:ascii="Verdana" w:hAnsi="Verdana" w:cs="Verdana"/>
          <w:sz w:val="16"/>
          <w:szCs w:val="16"/>
          <w:lang w:val="en-GB"/>
        </w:rPr>
        <w:t xml:space="preserve">Net </w:t>
      </w:r>
      <w:r w:rsidR="000C273F">
        <w:rPr>
          <w:rFonts w:ascii="Verdana" w:hAnsi="Verdana" w:cs="Verdana"/>
          <w:sz w:val="16"/>
          <w:szCs w:val="16"/>
          <w:lang w:val="en-GB"/>
        </w:rPr>
        <w:t xml:space="preserve">loss </w:t>
      </w:r>
      <w:r w:rsidRPr="00353FCF">
        <w:rPr>
          <w:rFonts w:ascii="Verdana" w:hAnsi="Verdana" w:cs="Verdana"/>
          <w:sz w:val="16"/>
          <w:szCs w:val="16"/>
          <w:lang w:val="en-GB"/>
        </w:rPr>
        <w:t xml:space="preserve">of Marel Food Systems in 2008 totalled EUR </w:t>
      </w:r>
      <w:r w:rsidR="00DD0118">
        <w:rPr>
          <w:rFonts w:ascii="Verdana" w:hAnsi="Verdana" w:cs="Verdana"/>
          <w:sz w:val="16"/>
          <w:szCs w:val="16"/>
          <w:lang w:val="en-GB"/>
        </w:rPr>
        <w:t>8.4</w:t>
      </w:r>
      <w:r w:rsidRPr="00353FCF">
        <w:rPr>
          <w:rFonts w:ascii="Verdana" w:hAnsi="Verdana" w:cs="Verdana"/>
          <w:sz w:val="16"/>
          <w:szCs w:val="16"/>
          <w:lang w:val="en-GB"/>
        </w:rPr>
        <w:t xml:space="preserve"> million, compared with </w:t>
      </w:r>
      <w:r w:rsidR="000C273F">
        <w:rPr>
          <w:rFonts w:ascii="Verdana" w:hAnsi="Verdana" w:cs="Verdana"/>
          <w:sz w:val="16"/>
          <w:szCs w:val="16"/>
          <w:lang w:val="en-GB"/>
        </w:rPr>
        <w:t xml:space="preserve">a net profit of </w:t>
      </w:r>
      <w:r w:rsidRPr="00353FCF">
        <w:rPr>
          <w:rFonts w:ascii="Verdana" w:hAnsi="Verdana" w:cs="Verdana"/>
          <w:sz w:val="16"/>
          <w:szCs w:val="16"/>
          <w:lang w:val="en-GB"/>
        </w:rPr>
        <w:t>EUR 6.1 million the year before.</w:t>
      </w:r>
    </w:p>
    <w:p w:rsidR="00704464" w:rsidRPr="00353FCF" w:rsidRDefault="00704464" w:rsidP="00704464">
      <w:pPr>
        <w:autoSpaceDE w:val="0"/>
        <w:autoSpaceDN w:val="0"/>
        <w:adjustRightInd w:val="0"/>
        <w:jc w:val="both"/>
        <w:rPr>
          <w:rFonts w:ascii="Verdana" w:hAnsi="Verdana" w:cs="Verdana"/>
          <w:sz w:val="16"/>
          <w:szCs w:val="16"/>
          <w:lang w:val="en-GB"/>
        </w:rPr>
      </w:pPr>
    </w:p>
    <w:p w:rsidR="00704464" w:rsidRPr="00353FCF" w:rsidRDefault="00704464" w:rsidP="00704464">
      <w:pPr>
        <w:autoSpaceDE w:val="0"/>
        <w:autoSpaceDN w:val="0"/>
        <w:adjustRightInd w:val="0"/>
        <w:jc w:val="both"/>
        <w:rPr>
          <w:rFonts w:ascii="Verdana" w:hAnsi="Verdana" w:cs="Verdana"/>
          <w:sz w:val="16"/>
          <w:szCs w:val="16"/>
          <w:lang w:val="en-GB"/>
        </w:rPr>
      </w:pPr>
      <w:r w:rsidRPr="00353FCF">
        <w:rPr>
          <w:rFonts w:ascii="Verdana" w:hAnsi="Verdana" w:cs="Verdana"/>
          <w:sz w:val="16"/>
          <w:szCs w:val="16"/>
          <w:lang w:val="en-GB"/>
        </w:rPr>
        <w:t xml:space="preserve">Net interest bearing debt, i.e. interest bearing debt less net cash, amounted to EUR </w:t>
      </w:r>
      <w:r w:rsidR="00297E53">
        <w:rPr>
          <w:rFonts w:ascii="Verdana" w:hAnsi="Verdana" w:cs="Verdana"/>
          <w:sz w:val="16"/>
          <w:szCs w:val="16"/>
          <w:lang w:val="en-GB"/>
        </w:rPr>
        <w:t>378</w:t>
      </w:r>
      <w:r w:rsidRPr="00353FCF">
        <w:rPr>
          <w:rFonts w:ascii="Verdana" w:hAnsi="Verdana" w:cs="Verdana"/>
          <w:sz w:val="16"/>
          <w:szCs w:val="16"/>
          <w:lang w:val="en-GB"/>
        </w:rPr>
        <w:t xml:space="preserve"> million at year end.</w:t>
      </w:r>
    </w:p>
    <w:p w:rsidR="00704464" w:rsidRPr="00353FCF" w:rsidRDefault="00704464" w:rsidP="00704464">
      <w:pPr>
        <w:autoSpaceDE w:val="0"/>
        <w:autoSpaceDN w:val="0"/>
        <w:adjustRightInd w:val="0"/>
        <w:jc w:val="both"/>
        <w:rPr>
          <w:rFonts w:ascii="Verdana" w:hAnsi="Verdana" w:cs="Verdana"/>
          <w:sz w:val="16"/>
          <w:szCs w:val="16"/>
          <w:lang w:val="en-GB"/>
        </w:rPr>
      </w:pPr>
    </w:p>
    <w:p w:rsidR="00704464" w:rsidRPr="00353FCF" w:rsidRDefault="00704464" w:rsidP="00704464">
      <w:pPr>
        <w:autoSpaceDE w:val="0"/>
        <w:autoSpaceDN w:val="0"/>
        <w:adjustRightInd w:val="0"/>
        <w:jc w:val="both"/>
        <w:rPr>
          <w:rFonts w:ascii="Verdana" w:hAnsi="Verdana" w:cs="Verdana"/>
          <w:sz w:val="16"/>
          <w:szCs w:val="16"/>
          <w:lang w:val="en-GB"/>
        </w:rPr>
      </w:pPr>
      <w:r w:rsidRPr="00353FCF">
        <w:rPr>
          <w:rFonts w:ascii="Verdana" w:hAnsi="Verdana" w:cs="Verdana"/>
          <w:sz w:val="16"/>
          <w:szCs w:val="16"/>
          <w:lang w:val="en-GB"/>
        </w:rPr>
        <w:t xml:space="preserve">Total assets of the company at year end 2008 were entered at EUR </w:t>
      </w:r>
      <w:r w:rsidR="00297E53">
        <w:rPr>
          <w:rFonts w:ascii="Verdana" w:hAnsi="Verdana" w:cs="Verdana"/>
          <w:sz w:val="16"/>
          <w:szCs w:val="16"/>
          <w:lang w:val="en-GB"/>
        </w:rPr>
        <w:t>924</w:t>
      </w:r>
      <w:r w:rsidRPr="00353FCF">
        <w:rPr>
          <w:rFonts w:ascii="Verdana" w:hAnsi="Verdana" w:cs="Verdana"/>
          <w:sz w:val="16"/>
          <w:szCs w:val="16"/>
          <w:lang w:val="en-GB"/>
        </w:rPr>
        <w:t xml:space="preserve"> million, having increased by EUR </w:t>
      </w:r>
      <w:r w:rsidR="00C60D10">
        <w:rPr>
          <w:rFonts w:ascii="Verdana" w:hAnsi="Verdana" w:cs="Verdana"/>
          <w:sz w:val="16"/>
          <w:szCs w:val="16"/>
          <w:lang w:val="en-GB"/>
        </w:rPr>
        <w:t>427</w:t>
      </w:r>
      <w:r w:rsidRPr="00353FCF">
        <w:rPr>
          <w:rFonts w:ascii="Verdana" w:hAnsi="Verdana" w:cs="Verdana"/>
          <w:sz w:val="16"/>
          <w:szCs w:val="16"/>
          <w:lang w:val="en-GB"/>
        </w:rPr>
        <w:t xml:space="preserve"> million, or </w:t>
      </w:r>
      <w:r w:rsidR="00297E53">
        <w:rPr>
          <w:rFonts w:ascii="Verdana" w:hAnsi="Verdana" w:cs="Verdana"/>
          <w:sz w:val="16"/>
          <w:szCs w:val="16"/>
          <w:lang w:val="en-GB"/>
        </w:rPr>
        <w:t>116</w:t>
      </w:r>
      <w:r w:rsidRPr="00353FCF">
        <w:rPr>
          <w:rFonts w:ascii="Verdana" w:hAnsi="Verdana" w:cs="Verdana"/>
          <w:sz w:val="16"/>
          <w:szCs w:val="16"/>
          <w:lang w:val="en-GB"/>
        </w:rPr>
        <w:t>%, from the end of 2007.</w:t>
      </w:r>
    </w:p>
    <w:p w:rsidR="00704464" w:rsidRPr="00353FCF" w:rsidRDefault="00704464" w:rsidP="00704464">
      <w:pPr>
        <w:autoSpaceDE w:val="0"/>
        <w:autoSpaceDN w:val="0"/>
        <w:adjustRightInd w:val="0"/>
        <w:jc w:val="both"/>
        <w:rPr>
          <w:rFonts w:ascii="Verdana" w:hAnsi="Verdana" w:cs="Verdana"/>
          <w:sz w:val="16"/>
          <w:szCs w:val="16"/>
          <w:lang w:val="en-GB"/>
        </w:rPr>
      </w:pPr>
    </w:p>
    <w:p w:rsidR="00704464" w:rsidRPr="00353FCF" w:rsidRDefault="00704464" w:rsidP="00704464">
      <w:pPr>
        <w:autoSpaceDE w:val="0"/>
        <w:autoSpaceDN w:val="0"/>
        <w:adjustRightInd w:val="0"/>
        <w:jc w:val="both"/>
        <w:rPr>
          <w:rFonts w:ascii="Verdana" w:hAnsi="Verdana" w:cs="Verdana"/>
          <w:sz w:val="16"/>
          <w:szCs w:val="16"/>
          <w:lang w:val="en-GB"/>
        </w:rPr>
      </w:pPr>
      <w:r w:rsidRPr="00353FCF">
        <w:rPr>
          <w:rFonts w:ascii="Verdana" w:hAnsi="Verdana" w:cs="Verdana"/>
          <w:sz w:val="16"/>
          <w:szCs w:val="16"/>
          <w:lang w:val="en-GB"/>
        </w:rPr>
        <w:t xml:space="preserve">Cash generated from operations totalled EUR </w:t>
      </w:r>
      <w:r w:rsidR="005D1DFB">
        <w:rPr>
          <w:rFonts w:ascii="Verdana" w:hAnsi="Verdana" w:cs="Verdana"/>
          <w:sz w:val="16"/>
          <w:szCs w:val="16"/>
          <w:lang w:val="en-GB"/>
        </w:rPr>
        <w:t>13.7</w:t>
      </w:r>
      <w:r w:rsidRPr="00353FCF">
        <w:rPr>
          <w:rFonts w:ascii="Verdana" w:hAnsi="Verdana" w:cs="Verdana"/>
          <w:sz w:val="16"/>
          <w:szCs w:val="16"/>
          <w:lang w:val="en-GB"/>
        </w:rPr>
        <w:t xml:space="preserve"> million. At year end 2008, net cash was EUR </w:t>
      </w:r>
      <w:r w:rsidR="005D1DFB">
        <w:rPr>
          <w:rFonts w:ascii="Verdana" w:hAnsi="Verdana" w:cs="Verdana"/>
          <w:sz w:val="16"/>
          <w:szCs w:val="16"/>
          <w:lang w:val="en-GB"/>
        </w:rPr>
        <w:t>22.2</w:t>
      </w:r>
      <w:r w:rsidRPr="00353FCF">
        <w:rPr>
          <w:rFonts w:ascii="Verdana" w:hAnsi="Verdana" w:cs="Verdana"/>
          <w:sz w:val="16"/>
          <w:szCs w:val="16"/>
          <w:lang w:val="en-GB"/>
        </w:rPr>
        <w:t xml:space="preserve"> million, compared with EUR </w:t>
      </w:r>
      <w:r w:rsidR="0032723B">
        <w:rPr>
          <w:rFonts w:ascii="Verdana" w:hAnsi="Verdana" w:cs="Verdana"/>
          <w:sz w:val="16"/>
          <w:szCs w:val="16"/>
          <w:lang w:val="en-GB"/>
        </w:rPr>
        <w:t>30.4</w:t>
      </w:r>
      <w:r w:rsidRPr="00353FCF">
        <w:rPr>
          <w:rFonts w:ascii="Verdana" w:hAnsi="Verdana" w:cs="Verdana"/>
          <w:sz w:val="16"/>
          <w:szCs w:val="16"/>
          <w:lang w:val="en-GB"/>
        </w:rPr>
        <w:t xml:space="preserve"> million at the end of 2007.</w:t>
      </w:r>
    </w:p>
    <w:p w:rsidR="00FD088F" w:rsidRPr="00353FCF" w:rsidRDefault="00FD088F" w:rsidP="006452AA">
      <w:pPr>
        <w:autoSpaceDE w:val="0"/>
        <w:autoSpaceDN w:val="0"/>
        <w:adjustRightInd w:val="0"/>
        <w:jc w:val="both"/>
        <w:rPr>
          <w:rFonts w:ascii="Verdana" w:hAnsi="Verdana" w:cs="Verdana"/>
          <w:sz w:val="16"/>
          <w:szCs w:val="16"/>
          <w:lang w:val="en-GB"/>
        </w:rPr>
      </w:pPr>
    </w:p>
    <w:p w:rsidR="002F6CAB" w:rsidRPr="00353FCF" w:rsidRDefault="002F6CAB" w:rsidP="006452AA">
      <w:pPr>
        <w:autoSpaceDE w:val="0"/>
        <w:autoSpaceDN w:val="0"/>
        <w:adjustRightInd w:val="0"/>
        <w:jc w:val="both"/>
        <w:rPr>
          <w:rFonts w:ascii="Verdana" w:hAnsi="Verdana" w:cs="Verdana"/>
          <w:sz w:val="16"/>
          <w:szCs w:val="16"/>
          <w:lang w:val="en-GB"/>
        </w:rPr>
      </w:pPr>
    </w:p>
    <w:p w:rsidR="002F6CAB" w:rsidRPr="00353FCF" w:rsidRDefault="002F6CAB" w:rsidP="006452AA">
      <w:pPr>
        <w:autoSpaceDE w:val="0"/>
        <w:autoSpaceDN w:val="0"/>
        <w:adjustRightInd w:val="0"/>
        <w:jc w:val="both"/>
        <w:rPr>
          <w:rFonts w:ascii="Verdana" w:hAnsi="Verdana" w:cs="Verdana"/>
          <w:sz w:val="16"/>
          <w:szCs w:val="16"/>
          <w:lang w:val="en-GB"/>
        </w:rPr>
      </w:pPr>
    </w:p>
    <w:tbl>
      <w:tblPr>
        <w:tblpPr w:leftFromText="180" w:rightFromText="180" w:vertAnchor="text" w:tblpY="1"/>
        <w:tblOverlap w:val="never"/>
        <w:tblW w:w="6536" w:type="dxa"/>
        <w:tblLayout w:type="fixed"/>
        <w:tblLook w:val="0000"/>
      </w:tblPr>
      <w:tblGrid>
        <w:gridCol w:w="3276"/>
        <w:gridCol w:w="1807"/>
        <w:gridCol w:w="35"/>
        <w:gridCol w:w="1418"/>
      </w:tblGrid>
      <w:tr w:rsidR="00FD088F" w:rsidRPr="00353FCF" w:rsidTr="00FD088F">
        <w:trPr>
          <w:trHeight w:val="360"/>
        </w:trPr>
        <w:tc>
          <w:tcPr>
            <w:tcW w:w="6536" w:type="dxa"/>
            <w:gridSpan w:val="4"/>
            <w:tcBorders>
              <w:top w:val="nil"/>
              <w:left w:val="nil"/>
              <w:bottom w:val="single" w:sz="4" w:space="0" w:color="auto"/>
              <w:right w:val="nil"/>
            </w:tcBorders>
            <w:shd w:val="clear" w:color="auto" w:fill="003366"/>
            <w:noWrap/>
            <w:tcMar>
              <w:top w:w="0" w:type="dxa"/>
              <w:left w:w="15" w:type="dxa"/>
              <w:bottom w:w="0" w:type="dxa"/>
              <w:right w:w="15" w:type="dxa"/>
            </w:tcMar>
            <w:vAlign w:val="bottom"/>
          </w:tcPr>
          <w:p w:rsidR="00FD088F" w:rsidRPr="00353FCF" w:rsidRDefault="00FD088F" w:rsidP="00FD088F">
            <w:pPr>
              <w:rPr>
                <w:rFonts w:ascii="Verdana" w:hAnsi="Verdana"/>
                <w:b/>
                <w:noProof/>
                <w:sz w:val="16"/>
                <w:szCs w:val="16"/>
                <w:lang w:val="en-GB"/>
              </w:rPr>
            </w:pPr>
            <w:r w:rsidRPr="00353FCF">
              <w:rPr>
                <w:rFonts w:ascii="Verdana" w:hAnsi="Verdana"/>
                <w:b/>
                <w:noProof/>
                <w:sz w:val="16"/>
                <w:szCs w:val="16"/>
                <w:lang w:val="en-GB"/>
              </w:rPr>
              <w:t>Operations for Q4 – main results in thous. of euros</w:t>
            </w:r>
          </w:p>
        </w:tc>
      </w:tr>
      <w:tr w:rsidR="00FD088F" w:rsidRPr="00353FCF" w:rsidTr="00FD088F">
        <w:trPr>
          <w:trHeight w:val="300"/>
        </w:trPr>
        <w:tc>
          <w:tcPr>
            <w:tcW w:w="3276" w:type="dxa"/>
            <w:tcBorders>
              <w:top w:val="nil"/>
              <w:left w:val="nil"/>
              <w:bottom w:val="nil"/>
              <w:right w:val="nil"/>
            </w:tcBorders>
            <w:noWrap/>
            <w:tcMar>
              <w:top w:w="0" w:type="dxa"/>
              <w:left w:w="15" w:type="dxa"/>
              <w:bottom w:w="0" w:type="dxa"/>
              <w:right w:w="15" w:type="dxa"/>
            </w:tcMar>
            <w:vAlign w:val="bottom"/>
          </w:tcPr>
          <w:p w:rsidR="00FD088F" w:rsidRPr="00353FCF" w:rsidRDefault="00FD088F" w:rsidP="00FD088F">
            <w:pPr>
              <w:rPr>
                <w:rFonts w:ascii="Verdana" w:hAnsi="Verdana"/>
                <w:noProof/>
                <w:sz w:val="16"/>
                <w:szCs w:val="16"/>
                <w:lang w:val="en-GB"/>
              </w:rPr>
            </w:pPr>
          </w:p>
        </w:tc>
        <w:tc>
          <w:tcPr>
            <w:tcW w:w="1807" w:type="dxa"/>
            <w:tcBorders>
              <w:top w:val="nil"/>
              <w:left w:val="nil"/>
              <w:bottom w:val="nil"/>
              <w:right w:val="nil"/>
            </w:tcBorders>
            <w:noWrap/>
            <w:tcMar>
              <w:top w:w="0" w:type="dxa"/>
              <w:left w:w="15" w:type="dxa"/>
              <w:bottom w:w="0" w:type="dxa"/>
              <w:right w:w="15" w:type="dxa"/>
            </w:tcMar>
            <w:vAlign w:val="bottom"/>
          </w:tcPr>
          <w:p w:rsidR="00FD088F" w:rsidRPr="00353FCF" w:rsidRDefault="00FD088F" w:rsidP="00FD088F">
            <w:pPr>
              <w:jc w:val="right"/>
              <w:rPr>
                <w:rFonts w:ascii="Verdana" w:hAnsi="Verdana"/>
                <w:noProof/>
                <w:sz w:val="16"/>
                <w:szCs w:val="16"/>
                <w:lang w:val="en-GB"/>
              </w:rPr>
            </w:pPr>
          </w:p>
        </w:tc>
        <w:tc>
          <w:tcPr>
            <w:tcW w:w="1453" w:type="dxa"/>
            <w:gridSpan w:val="2"/>
            <w:tcBorders>
              <w:top w:val="nil"/>
              <w:left w:val="nil"/>
              <w:bottom w:val="nil"/>
              <w:right w:val="nil"/>
            </w:tcBorders>
            <w:noWrap/>
            <w:tcMar>
              <w:top w:w="0" w:type="dxa"/>
              <w:left w:w="15" w:type="dxa"/>
              <w:bottom w:w="0" w:type="dxa"/>
              <w:right w:w="15" w:type="dxa"/>
            </w:tcMar>
            <w:vAlign w:val="bottom"/>
          </w:tcPr>
          <w:p w:rsidR="00FD088F" w:rsidRPr="00353FCF" w:rsidRDefault="00FD088F" w:rsidP="00FD088F">
            <w:pPr>
              <w:jc w:val="right"/>
              <w:rPr>
                <w:rFonts w:ascii="Verdana" w:hAnsi="Verdana"/>
                <w:noProof/>
                <w:sz w:val="16"/>
                <w:szCs w:val="16"/>
                <w:lang w:val="en-GB"/>
              </w:rPr>
            </w:pPr>
          </w:p>
        </w:tc>
      </w:tr>
      <w:tr w:rsidR="00FD088F" w:rsidRPr="00353FCF" w:rsidTr="00FD088F">
        <w:trPr>
          <w:trHeight w:val="300"/>
        </w:trPr>
        <w:tc>
          <w:tcPr>
            <w:tcW w:w="3276" w:type="dxa"/>
            <w:tcBorders>
              <w:top w:val="nil"/>
              <w:left w:val="nil"/>
              <w:bottom w:val="nil"/>
              <w:right w:val="nil"/>
            </w:tcBorders>
            <w:shd w:val="clear" w:color="auto" w:fill="C0C0C0"/>
            <w:noWrap/>
            <w:tcMar>
              <w:top w:w="15" w:type="dxa"/>
              <w:left w:w="15" w:type="dxa"/>
              <w:bottom w:w="0" w:type="dxa"/>
              <w:right w:w="15" w:type="dxa"/>
            </w:tcMar>
            <w:vAlign w:val="bottom"/>
          </w:tcPr>
          <w:p w:rsidR="00FD088F" w:rsidRPr="00353FCF" w:rsidRDefault="00FD088F" w:rsidP="00FD088F">
            <w:pPr>
              <w:rPr>
                <w:rFonts w:ascii="Verdana" w:hAnsi="Verdana"/>
                <w:b/>
                <w:noProof/>
                <w:sz w:val="16"/>
                <w:szCs w:val="16"/>
                <w:lang w:val="en-GB"/>
              </w:rPr>
            </w:pPr>
            <w:r w:rsidRPr="00353FCF">
              <w:rPr>
                <w:rFonts w:ascii="Verdana" w:hAnsi="Verdana"/>
                <w:b/>
                <w:noProof/>
                <w:sz w:val="16"/>
                <w:szCs w:val="16"/>
                <w:lang w:val="en-GB"/>
              </w:rPr>
              <w:t>Operating results</w:t>
            </w:r>
          </w:p>
        </w:tc>
        <w:tc>
          <w:tcPr>
            <w:tcW w:w="1807" w:type="dxa"/>
            <w:tcBorders>
              <w:top w:val="nil"/>
              <w:left w:val="nil"/>
              <w:bottom w:val="nil"/>
              <w:right w:val="nil"/>
            </w:tcBorders>
            <w:shd w:val="clear" w:color="auto" w:fill="C0C0C0"/>
            <w:noWrap/>
            <w:tcMar>
              <w:top w:w="15" w:type="dxa"/>
              <w:left w:w="15" w:type="dxa"/>
              <w:bottom w:w="0" w:type="dxa"/>
              <w:right w:w="15" w:type="dxa"/>
            </w:tcMar>
            <w:vAlign w:val="bottom"/>
          </w:tcPr>
          <w:p w:rsidR="00FD088F" w:rsidRPr="00353FCF" w:rsidRDefault="00FD088F" w:rsidP="00FD088F">
            <w:pPr>
              <w:jc w:val="right"/>
              <w:rPr>
                <w:rFonts w:ascii="Verdana" w:hAnsi="Verdana"/>
                <w:b/>
                <w:noProof/>
                <w:sz w:val="16"/>
                <w:szCs w:val="16"/>
                <w:lang w:val="en-GB"/>
              </w:rPr>
            </w:pPr>
            <w:r w:rsidRPr="00353FCF">
              <w:rPr>
                <w:rFonts w:ascii="Verdana" w:hAnsi="Verdana"/>
                <w:b/>
                <w:noProof/>
                <w:sz w:val="16"/>
                <w:szCs w:val="16"/>
                <w:lang w:val="en-GB"/>
              </w:rPr>
              <w:t>2008</w:t>
            </w:r>
          </w:p>
        </w:tc>
        <w:tc>
          <w:tcPr>
            <w:tcW w:w="1453" w:type="dxa"/>
            <w:gridSpan w:val="2"/>
            <w:tcBorders>
              <w:top w:val="nil"/>
              <w:left w:val="nil"/>
              <w:bottom w:val="nil"/>
              <w:right w:val="nil"/>
            </w:tcBorders>
            <w:shd w:val="clear" w:color="auto" w:fill="C0C0C0"/>
            <w:noWrap/>
            <w:tcMar>
              <w:top w:w="15" w:type="dxa"/>
              <w:left w:w="15" w:type="dxa"/>
              <w:bottom w:w="0" w:type="dxa"/>
              <w:right w:w="15" w:type="dxa"/>
            </w:tcMar>
            <w:vAlign w:val="bottom"/>
          </w:tcPr>
          <w:p w:rsidR="00FD088F" w:rsidRPr="00353FCF" w:rsidRDefault="00FD088F" w:rsidP="00FD088F">
            <w:pPr>
              <w:jc w:val="right"/>
              <w:rPr>
                <w:rFonts w:ascii="Verdana" w:hAnsi="Verdana"/>
                <w:b/>
                <w:noProof/>
                <w:sz w:val="16"/>
                <w:szCs w:val="16"/>
                <w:lang w:val="en-GB"/>
              </w:rPr>
            </w:pPr>
            <w:r w:rsidRPr="00353FCF">
              <w:rPr>
                <w:rFonts w:ascii="Verdana" w:hAnsi="Verdana"/>
                <w:b/>
                <w:noProof/>
                <w:sz w:val="16"/>
                <w:szCs w:val="16"/>
                <w:lang w:val="en-GB"/>
              </w:rPr>
              <w:t>2007</w:t>
            </w:r>
          </w:p>
        </w:tc>
      </w:tr>
      <w:tr w:rsidR="0026138D" w:rsidRPr="00353FCF" w:rsidTr="00FD088F">
        <w:trPr>
          <w:trHeight w:val="285"/>
        </w:trPr>
        <w:tc>
          <w:tcPr>
            <w:tcW w:w="3276" w:type="dxa"/>
            <w:tcBorders>
              <w:top w:val="nil"/>
              <w:left w:val="nil"/>
              <w:bottom w:val="nil"/>
              <w:right w:val="nil"/>
            </w:tcBorders>
            <w:noWrap/>
            <w:tcMar>
              <w:top w:w="0" w:type="dxa"/>
              <w:left w:w="15" w:type="dxa"/>
              <w:bottom w:w="0" w:type="dxa"/>
              <w:right w:w="15" w:type="dxa"/>
            </w:tcMar>
            <w:vAlign w:val="bottom"/>
          </w:tcPr>
          <w:p w:rsidR="0026138D" w:rsidRPr="00353FCF" w:rsidRDefault="0026138D" w:rsidP="0026138D">
            <w:pPr>
              <w:jc w:val="both"/>
              <w:rPr>
                <w:rFonts w:ascii="Verdana" w:hAnsi="Verdana"/>
                <w:noProof/>
                <w:sz w:val="16"/>
                <w:szCs w:val="16"/>
                <w:lang w:val="en-GB"/>
              </w:rPr>
            </w:pPr>
            <w:r w:rsidRPr="00353FCF">
              <w:rPr>
                <w:rFonts w:ascii="Verdana" w:hAnsi="Verdana"/>
                <w:noProof/>
                <w:sz w:val="16"/>
                <w:szCs w:val="16"/>
                <w:lang w:val="en-GB"/>
              </w:rPr>
              <w:t>Sales</w:t>
            </w:r>
          </w:p>
        </w:tc>
        <w:tc>
          <w:tcPr>
            <w:tcW w:w="1807" w:type="dxa"/>
            <w:tcBorders>
              <w:top w:val="nil"/>
              <w:left w:val="nil"/>
              <w:bottom w:val="nil"/>
              <w:right w:val="nil"/>
            </w:tcBorders>
            <w:noWrap/>
            <w:tcMar>
              <w:top w:w="0" w:type="dxa"/>
              <w:left w:w="15" w:type="dxa"/>
              <w:bottom w:w="0" w:type="dxa"/>
              <w:right w:w="15" w:type="dxa"/>
            </w:tcMar>
            <w:vAlign w:val="bottom"/>
          </w:tcPr>
          <w:p w:rsidR="0026138D" w:rsidRPr="00666B43" w:rsidRDefault="0026138D" w:rsidP="0026138D">
            <w:pPr>
              <w:jc w:val="right"/>
              <w:rPr>
                <w:rFonts w:ascii="Verdana" w:hAnsi="Verdana"/>
                <w:noProof/>
                <w:sz w:val="16"/>
                <w:szCs w:val="16"/>
              </w:rPr>
            </w:pPr>
            <w:r w:rsidRPr="00666B43">
              <w:rPr>
                <w:rFonts w:ascii="Verdana" w:hAnsi="Verdana"/>
                <w:noProof/>
                <w:sz w:val="16"/>
                <w:szCs w:val="16"/>
              </w:rPr>
              <w:t>150</w:t>
            </w:r>
            <w:r>
              <w:rPr>
                <w:rFonts w:ascii="Verdana" w:hAnsi="Verdana"/>
                <w:noProof/>
                <w:sz w:val="16"/>
                <w:szCs w:val="16"/>
              </w:rPr>
              <w:t>,</w:t>
            </w:r>
            <w:r w:rsidRPr="00666B43">
              <w:rPr>
                <w:rFonts w:ascii="Verdana" w:hAnsi="Verdana"/>
                <w:noProof/>
                <w:sz w:val="16"/>
                <w:szCs w:val="16"/>
              </w:rPr>
              <w:t xml:space="preserve">501 </w:t>
            </w:r>
          </w:p>
        </w:tc>
        <w:tc>
          <w:tcPr>
            <w:tcW w:w="1453" w:type="dxa"/>
            <w:gridSpan w:val="2"/>
            <w:tcBorders>
              <w:top w:val="nil"/>
              <w:left w:val="nil"/>
              <w:bottom w:val="nil"/>
              <w:right w:val="nil"/>
            </w:tcBorders>
            <w:noWrap/>
            <w:tcMar>
              <w:top w:w="0" w:type="dxa"/>
              <w:left w:w="15" w:type="dxa"/>
              <w:bottom w:w="0" w:type="dxa"/>
              <w:right w:w="15" w:type="dxa"/>
            </w:tcMar>
            <w:vAlign w:val="bottom"/>
          </w:tcPr>
          <w:p w:rsidR="0026138D" w:rsidRPr="00FA6496" w:rsidRDefault="0026138D" w:rsidP="0026138D">
            <w:pPr>
              <w:jc w:val="right"/>
              <w:rPr>
                <w:rFonts w:ascii="Verdana" w:hAnsi="Verdana"/>
                <w:noProof/>
                <w:sz w:val="16"/>
                <w:szCs w:val="16"/>
              </w:rPr>
            </w:pPr>
            <w:r w:rsidRPr="00FA6496">
              <w:rPr>
                <w:rFonts w:ascii="Verdana" w:hAnsi="Verdana"/>
                <w:noProof/>
                <w:sz w:val="16"/>
                <w:szCs w:val="16"/>
              </w:rPr>
              <w:t>78</w:t>
            </w:r>
            <w:r>
              <w:rPr>
                <w:rFonts w:ascii="Verdana" w:hAnsi="Verdana"/>
                <w:noProof/>
                <w:sz w:val="16"/>
                <w:szCs w:val="16"/>
              </w:rPr>
              <w:t>,</w:t>
            </w:r>
            <w:r w:rsidRPr="00FA6496">
              <w:rPr>
                <w:rFonts w:ascii="Verdana" w:hAnsi="Verdana"/>
                <w:noProof/>
                <w:sz w:val="16"/>
                <w:szCs w:val="16"/>
              </w:rPr>
              <w:t>869</w:t>
            </w:r>
          </w:p>
        </w:tc>
      </w:tr>
      <w:tr w:rsidR="0026138D" w:rsidRPr="00353FCF" w:rsidTr="00FD088F">
        <w:trPr>
          <w:trHeight w:val="255"/>
        </w:trPr>
        <w:tc>
          <w:tcPr>
            <w:tcW w:w="3276" w:type="dxa"/>
            <w:tcBorders>
              <w:top w:val="nil"/>
              <w:left w:val="nil"/>
              <w:bottom w:val="nil"/>
              <w:right w:val="nil"/>
            </w:tcBorders>
            <w:noWrap/>
            <w:tcMar>
              <w:top w:w="0" w:type="dxa"/>
              <w:left w:w="15" w:type="dxa"/>
              <w:bottom w:w="0" w:type="dxa"/>
              <w:right w:w="15" w:type="dxa"/>
            </w:tcMar>
            <w:vAlign w:val="bottom"/>
          </w:tcPr>
          <w:p w:rsidR="0026138D" w:rsidRPr="00353FCF" w:rsidRDefault="0026138D" w:rsidP="0026138D">
            <w:pPr>
              <w:jc w:val="both"/>
              <w:rPr>
                <w:rFonts w:ascii="Verdana" w:hAnsi="Verdana"/>
                <w:noProof/>
                <w:sz w:val="16"/>
                <w:szCs w:val="16"/>
                <w:lang w:val="en-GB"/>
              </w:rPr>
            </w:pPr>
            <w:r w:rsidRPr="00353FCF">
              <w:rPr>
                <w:rFonts w:ascii="Verdana" w:hAnsi="Verdana"/>
                <w:noProof/>
                <w:sz w:val="16"/>
                <w:szCs w:val="16"/>
                <w:lang w:val="en-GB"/>
              </w:rPr>
              <w:t>Cost of goods sold</w:t>
            </w:r>
          </w:p>
        </w:tc>
        <w:tc>
          <w:tcPr>
            <w:tcW w:w="1807" w:type="dxa"/>
            <w:tcBorders>
              <w:top w:val="nil"/>
              <w:left w:val="nil"/>
              <w:bottom w:val="nil"/>
              <w:right w:val="nil"/>
            </w:tcBorders>
            <w:noWrap/>
            <w:tcMar>
              <w:top w:w="0" w:type="dxa"/>
              <w:left w:w="15" w:type="dxa"/>
              <w:bottom w:w="0" w:type="dxa"/>
              <w:right w:w="15" w:type="dxa"/>
            </w:tcMar>
            <w:vAlign w:val="bottom"/>
          </w:tcPr>
          <w:p w:rsidR="0026138D" w:rsidRPr="00666B43" w:rsidRDefault="0026138D" w:rsidP="0026138D">
            <w:pPr>
              <w:jc w:val="right"/>
              <w:rPr>
                <w:rFonts w:ascii="Verdana" w:hAnsi="Verdana"/>
                <w:noProof/>
                <w:sz w:val="16"/>
                <w:szCs w:val="16"/>
              </w:rPr>
            </w:pPr>
            <w:r w:rsidRPr="00666B43">
              <w:rPr>
                <w:rFonts w:ascii="Verdana" w:hAnsi="Verdana"/>
                <w:noProof/>
                <w:sz w:val="16"/>
                <w:szCs w:val="16"/>
              </w:rPr>
              <w:t>(107</w:t>
            </w:r>
            <w:r>
              <w:rPr>
                <w:rFonts w:ascii="Verdana" w:hAnsi="Verdana"/>
                <w:noProof/>
                <w:sz w:val="16"/>
                <w:szCs w:val="16"/>
              </w:rPr>
              <w:t>,</w:t>
            </w:r>
            <w:r w:rsidRPr="00666B43">
              <w:rPr>
                <w:rFonts w:ascii="Verdana" w:hAnsi="Verdana"/>
                <w:noProof/>
                <w:sz w:val="16"/>
                <w:szCs w:val="16"/>
              </w:rPr>
              <w:t>617)</w:t>
            </w:r>
          </w:p>
        </w:tc>
        <w:tc>
          <w:tcPr>
            <w:tcW w:w="1453" w:type="dxa"/>
            <w:gridSpan w:val="2"/>
            <w:tcBorders>
              <w:top w:val="nil"/>
              <w:left w:val="nil"/>
              <w:bottom w:val="nil"/>
              <w:right w:val="nil"/>
            </w:tcBorders>
            <w:noWrap/>
            <w:tcMar>
              <w:top w:w="0" w:type="dxa"/>
              <w:left w:w="15" w:type="dxa"/>
              <w:bottom w:w="0" w:type="dxa"/>
              <w:right w:w="15" w:type="dxa"/>
            </w:tcMar>
            <w:vAlign w:val="bottom"/>
          </w:tcPr>
          <w:p w:rsidR="0026138D" w:rsidRPr="00FA6496" w:rsidRDefault="0026138D" w:rsidP="0026138D">
            <w:pPr>
              <w:jc w:val="right"/>
              <w:rPr>
                <w:rFonts w:ascii="Verdana" w:hAnsi="Verdana"/>
                <w:noProof/>
                <w:sz w:val="16"/>
                <w:szCs w:val="16"/>
              </w:rPr>
            </w:pPr>
            <w:r w:rsidRPr="00FA6496">
              <w:rPr>
                <w:rFonts w:ascii="Verdana" w:hAnsi="Verdana"/>
                <w:noProof/>
                <w:sz w:val="16"/>
                <w:szCs w:val="16"/>
              </w:rPr>
              <w:t>(53</w:t>
            </w:r>
            <w:r>
              <w:rPr>
                <w:rFonts w:ascii="Verdana" w:hAnsi="Verdana"/>
                <w:noProof/>
                <w:sz w:val="16"/>
                <w:szCs w:val="16"/>
              </w:rPr>
              <w:t>,</w:t>
            </w:r>
            <w:r w:rsidRPr="00FA6496">
              <w:rPr>
                <w:rFonts w:ascii="Verdana" w:hAnsi="Verdana"/>
                <w:noProof/>
                <w:sz w:val="16"/>
                <w:szCs w:val="16"/>
              </w:rPr>
              <w:t>692)</w:t>
            </w:r>
          </w:p>
        </w:tc>
      </w:tr>
      <w:tr w:rsidR="0026138D" w:rsidRPr="00353FCF" w:rsidTr="00FD088F">
        <w:trPr>
          <w:trHeight w:val="255"/>
        </w:trPr>
        <w:tc>
          <w:tcPr>
            <w:tcW w:w="3276" w:type="dxa"/>
            <w:tcBorders>
              <w:top w:val="nil"/>
              <w:left w:val="nil"/>
              <w:bottom w:val="nil"/>
              <w:right w:val="nil"/>
            </w:tcBorders>
            <w:noWrap/>
            <w:tcMar>
              <w:top w:w="0" w:type="dxa"/>
              <w:left w:w="15" w:type="dxa"/>
              <w:bottom w:w="0" w:type="dxa"/>
              <w:right w:w="15" w:type="dxa"/>
            </w:tcMar>
            <w:vAlign w:val="bottom"/>
          </w:tcPr>
          <w:p w:rsidR="0026138D" w:rsidRPr="00353FCF" w:rsidRDefault="0026138D" w:rsidP="0026138D">
            <w:pPr>
              <w:jc w:val="both"/>
              <w:rPr>
                <w:rFonts w:ascii="Verdana" w:hAnsi="Verdana"/>
                <w:noProof/>
                <w:sz w:val="16"/>
                <w:szCs w:val="16"/>
                <w:lang w:val="en-GB"/>
              </w:rPr>
            </w:pPr>
            <w:r w:rsidRPr="00353FCF">
              <w:rPr>
                <w:rFonts w:ascii="Verdana" w:hAnsi="Verdana"/>
                <w:noProof/>
                <w:sz w:val="16"/>
                <w:szCs w:val="16"/>
                <w:lang w:val="en-GB"/>
              </w:rPr>
              <w:t>Gross profit</w:t>
            </w:r>
          </w:p>
        </w:tc>
        <w:tc>
          <w:tcPr>
            <w:tcW w:w="1807" w:type="dxa"/>
            <w:tcBorders>
              <w:top w:val="nil"/>
              <w:left w:val="nil"/>
              <w:bottom w:val="nil"/>
              <w:right w:val="nil"/>
            </w:tcBorders>
            <w:noWrap/>
            <w:tcMar>
              <w:top w:w="0" w:type="dxa"/>
              <w:left w:w="15" w:type="dxa"/>
              <w:bottom w:w="0" w:type="dxa"/>
              <w:right w:w="15" w:type="dxa"/>
            </w:tcMar>
            <w:vAlign w:val="bottom"/>
          </w:tcPr>
          <w:p w:rsidR="0026138D" w:rsidRPr="00666B43" w:rsidRDefault="0026138D" w:rsidP="0026138D">
            <w:pPr>
              <w:jc w:val="right"/>
              <w:rPr>
                <w:rFonts w:ascii="Verdana" w:hAnsi="Verdana"/>
                <w:noProof/>
                <w:sz w:val="16"/>
                <w:szCs w:val="16"/>
              </w:rPr>
            </w:pPr>
            <w:r w:rsidRPr="00666B43">
              <w:rPr>
                <w:rFonts w:ascii="Verdana" w:hAnsi="Verdana"/>
                <w:noProof/>
                <w:sz w:val="16"/>
                <w:szCs w:val="16"/>
              </w:rPr>
              <w:t>42</w:t>
            </w:r>
            <w:r>
              <w:rPr>
                <w:rFonts w:ascii="Verdana" w:hAnsi="Verdana"/>
                <w:noProof/>
                <w:sz w:val="16"/>
                <w:szCs w:val="16"/>
              </w:rPr>
              <w:t>,</w:t>
            </w:r>
            <w:r w:rsidRPr="00666B43">
              <w:rPr>
                <w:rFonts w:ascii="Verdana" w:hAnsi="Verdana"/>
                <w:noProof/>
                <w:sz w:val="16"/>
                <w:szCs w:val="16"/>
              </w:rPr>
              <w:t>884</w:t>
            </w:r>
          </w:p>
        </w:tc>
        <w:tc>
          <w:tcPr>
            <w:tcW w:w="1453" w:type="dxa"/>
            <w:gridSpan w:val="2"/>
            <w:tcBorders>
              <w:top w:val="nil"/>
              <w:left w:val="nil"/>
              <w:bottom w:val="nil"/>
              <w:right w:val="nil"/>
            </w:tcBorders>
            <w:noWrap/>
            <w:tcMar>
              <w:top w:w="0" w:type="dxa"/>
              <w:left w:w="15" w:type="dxa"/>
              <w:bottom w:w="0" w:type="dxa"/>
              <w:right w:w="15" w:type="dxa"/>
            </w:tcMar>
            <w:vAlign w:val="bottom"/>
          </w:tcPr>
          <w:p w:rsidR="0026138D" w:rsidRPr="00FA6496" w:rsidRDefault="0026138D" w:rsidP="0026138D">
            <w:pPr>
              <w:jc w:val="right"/>
              <w:rPr>
                <w:rFonts w:ascii="Verdana" w:hAnsi="Verdana"/>
                <w:noProof/>
                <w:sz w:val="16"/>
                <w:szCs w:val="16"/>
              </w:rPr>
            </w:pPr>
            <w:r w:rsidRPr="00FA6496">
              <w:rPr>
                <w:rFonts w:ascii="Verdana" w:hAnsi="Verdana"/>
                <w:noProof/>
                <w:sz w:val="16"/>
                <w:szCs w:val="16"/>
              </w:rPr>
              <w:t>25</w:t>
            </w:r>
            <w:r>
              <w:rPr>
                <w:rFonts w:ascii="Verdana" w:hAnsi="Verdana"/>
                <w:noProof/>
                <w:sz w:val="16"/>
                <w:szCs w:val="16"/>
              </w:rPr>
              <w:t>,</w:t>
            </w:r>
            <w:r w:rsidRPr="00FA6496">
              <w:rPr>
                <w:rFonts w:ascii="Verdana" w:hAnsi="Verdana"/>
                <w:noProof/>
                <w:sz w:val="16"/>
                <w:szCs w:val="16"/>
              </w:rPr>
              <w:t>177</w:t>
            </w:r>
          </w:p>
        </w:tc>
      </w:tr>
      <w:tr w:rsidR="0026138D" w:rsidRPr="00353FCF" w:rsidTr="00FD088F">
        <w:trPr>
          <w:trHeight w:val="285"/>
        </w:trPr>
        <w:tc>
          <w:tcPr>
            <w:tcW w:w="3276" w:type="dxa"/>
            <w:tcBorders>
              <w:top w:val="nil"/>
              <w:left w:val="nil"/>
              <w:bottom w:val="nil"/>
              <w:right w:val="nil"/>
            </w:tcBorders>
            <w:noWrap/>
            <w:tcMar>
              <w:top w:w="0" w:type="dxa"/>
              <w:left w:w="15" w:type="dxa"/>
              <w:bottom w:w="0" w:type="dxa"/>
              <w:right w:w="15" w:type="dxa"/>
            </w:tcMar>
            <w:vAlign w:val="bottom"/>
          </w:tcPr>
          <w:p w:rsidR="0026138D" w:rsidRPr="00353FCF" w:rsidRDefault="0026138D" w:rsidP="0026138D">
            <w:pPr>
              <w:jc w:val="both"/>
              <w:rPr>
                <w:rFonts w:ascii="Verdana" w:hAnsi="Verdana"/>
                <w:noProof/>
                <w:sz w:val="16"/>
                <w:szCs w:val="16"/>
                <w:lang w:val="en-GB"/>
              </w:rPr>
            </w:pPr>
          </w:p>
        </w:tc>
        <w:tc>
          <w:tcPr>
            <w:tcW w:w="1807" w:type="dxa"/>
            <w:tcBorders>
              <w:top w:val="nil"/>
              <w:left w:val="nil"/>
              <w:bottom w:val="nil"/>
              <w:right w:val="nil"/>
            </w:tcBorders>
            <w:noWrap/>
            <w:tcMar>
              <w:top w:w="0" w:type="dxa"/>
              <w:left w:w="15" w:type="dxa"/>
              <w:bottom w:w="0" w:type="dxa"/>
              <w:right w:w="15" w:type="dxa"/>
            </w:tcMar>
            <w:vAlign w:val="bottom"/>
          </w:tcPr>
          <w:p w:rsidR="0026138D" w:rsidRPr="00666B43" w:rsidRDefault="0026138D" w:rsidP="0026138D">
            <w:pPr>
              <w:jc w:val="right"/>
              <w:rPr>
                <w:rFonts w:ascii="Verdana" w:hAnsi="Verdana"/>
                <w:noProof/>
                <w:sz w:val="16"/>
                <w:szCs w:val="16"/>
              </w:rPr>
            </w:pPr>
          </w:p>
        </w:tc>
        <w:tc>
          <w:tcPr>
            <w:tcW w:w="1453" w:type="dxa"/>
            <w:gridSpan w:val="2"/>
            <w:tcBorders>
              <w:top w:val="nil"/>
              <w:left w:val="nil"/>
              <w:bottom w:val="nil"/>
              <w:right w:val="nil"/>
            </w:tcBorders>
            <w:noWrap/>
            <w:tcMar>
              <w:top w:w="0" w:type="dxa"/>
              <w:left w:w="15" w:type="dxa"/>
              <w:bottom w:w="0" w:type="dxa"/>
              <w:right w:w="15" w:type="dxa"/>
            </w:tcMar>
            <w:vAlign w:val="bottom"/>
          </w:tcPr>
          <w:p w:rsidR="0026138D" w:rsidRPr="00FA6496" w:rsidRDefault="0026138D" w:rsidP="0026138D">
            <w:pPr>
              <w:jc w:val="right"/>
              <w:rPr>
                <w:rFonts w:ascii="Verdana" w:hAnsi="Verdana"/>
                <w:noProof/>
                <w:sz w:val="16"/>
                <w:szCs w:val="16"/>
              </w:rPr>
            </w:pPr>
          </w:p>
        </w:tc>
      </w:tr>
      <w:tr w:rsidR="0026138D" w:rsidRPr="00353FCF" w:rsidTr="00FD088F">
        <w:trPr>
          <w:trHeight w:val="285"/>
        </w:trPr>
        <w:tc>
          <w:tcPr>
            <w:tcW w:w="3276" w:type="dxa"/>
            <w:tcBorders>
              <w:top w:val="nil"/>
              <w:left w:val="nil"/>
              <w:bottom w:val="nil"/>
              <w:right w:val="nil"/>
            </w:tcBorders>
            <w:noWrap/>
            <w:tcMar>
              <w:top w:w="0" w:type="dxa"/>
              <w:left w:w="15" w:type="dxa"/>
              <w:bottom w:w="0" w:type="dxa"/>
              <w:right w:w="15" w:type="dxa"/>
            </w:tcMar>
            <w:vAlign w:val="bottom"/>
          </w:tcPr>
          <w:p w:rsidR="0026138D" w:rsidRPr="00353FCF" w:rsidRDefault="0026138D" w:rsidP="0026138D">
            <w:pPr>
              <w:jc w:val="both"/>
              <w:rPr>
                <w:rFonts w:ascii="Verdana" w:hAnsi="Verdana"/>
                <w:noProof/>
                <w:sz w:val="16"/>
                <w:szCs w:val="16"/>
                <w:lang w:val="en-GB"/>
              </w:rPr>
            </w:pPr>
            <w:r w:rsidRPr="00353FCF">
              <w:rPr>
                <w:rFonts w:ascii="Verdana" w:hAnsi="Verdana"/>
                <w:noProof/>
                <w:sz w:val="16"/>
                <w:szCs w:val="16"/>
                <w:lang w:val="en-GB"/>
              </w:rPr>
              <w:t>Other operating income</w:t>
            </w:r>
          </w:p>
        </w:tc>
        <w:tc>
          <w:tcPr>
            <w:tcW w:w="1807" w:type="dxa"/>
            <w:tcBorders>
              <w:top w:val="nil"/>
              <w:left w:val="nil"/>
              <w:bottom w:val="nil"/>
              <w:right w:val="nil"/>
            </w:tcBorders>
            <w:noWrap/>
            <w:tcMar>
              <w:top w:w="0" w:type="dxa"/>
              <w:left w:w="15" w:type="dxa"/>
              <w:bottom w:w="0" w:type="dxa"/>
              <w:right w:w="15" w:type="dxa"/>
            </w:tcMar>
            <w:vAlign w:val="bottom"/>
          </w:tcPr>
          <w:p w:rsidR="0026138D" w:rsidRPr="00666B43" w:rsidRDefault="0026138D" w:rsidP="0026138D">
            <w:pPr>
              <w:jc w:val="right"/>
              <w:rPr>
                <w:rFonts w:ascii="Verdana" w:hAnsi="Verdana"/>
                <w:noProof/>
                <w:sz w:val="16"/>
                <w:szCs w:val="16"/>
              </w:rPr>
            </w:pPr>
            <w:r w:rsidRPr="00666B43">
              <w:rPr>
                <w:rFonts w:ascii="Verdana" w:hAnsi="Verdana"/>
                <w:noProof/>
                <w:sz w:val="16"/>
                <w:szCs w:val="16"/>
              </w:rPr>
              <w:t>(189)</w:t>
            </w:r>
          </w:p>
        </w:tc>
        <w:tc>
          <w:tcPr>
            <w:tcW w:w="1453" w:type="dxa"/>
            <w:gridSpan w:val="2"/>
            <w:tcBorders>
              <w:top w:val="nil"/>
              <w:left w:val="nil"/>
              <w:bottom w:val="nil"/>
              <w:right w:val="nil"/>
            </w:tcBorders>
            <w:noWrap/>
            <w:tcMar>
              <w:top w:w="0" w:type="dxa"/>
              <w:left w:w="15" w:type="dxa"/>
              <w:bottom w:w="0" w:type="dxa"/>
              <w:right w:w="15" w:type="dxa"/>
            </w:tcMar>
            <w:vAlign w:val="bottom"/>
          </w:tcPr>
          <w:p w:rsidR="0026138D" w:rsidRPr="00FA6496" w:rsidRDefault="0026138D" w:rsidP="0026138D">
            <w:pPr>
              <w:jc w:val="right"/>
              <w:rPr>
                <w:rFonts w:ascii="Verdana" w:hAnsi="Verdana"/>
                <w:noProof/>
                <w:sz w:val="16"/>
                <w:szCs w:val="16"/>
              </w:rPr>
            </w:pPr>
            <w:r w:rsidRPr="00FA6496">
              <w:rPr>
                <w:rFonts w:ascii="Verdana" w:hAnsi="Verdana"/>
                <w:noProof/>
                <w:sz w:val="16"/>
                <w:szCs w:val="16"/>
              </w:rPr>
              <w:t>(66)</w:t>
            </w:r>
          </w:p>
        </w:tc>
      </w:tr>
      <w:tr w:rsidR="0026138D" w:rsidRPr="00353FCF" w:rsidTr="00FD088F">
        <w:trPr>
          <w:trHeight w:val="285"/>
        </w:trPr>
        <w:tc>
          <w:tcPr>
            <w:tcW w:w="3276" w:type="dxa"/>
            <w:tcBorders>
              <w:top w:val="nil"/>
              <w:left w:val="nil"/>
              <w:bottom w:val="nil"/>
              <w:right w:val="nil"/>
            </w:tcBorders>
            <w:noWrap/>
            <w:tcMar>
              <w:top w:w="0" w:type="dxa"/>
              <w:left w:w="15" w:type="dxa"/>
              <w:bottom w:w="0" w:type="dxa"/>
              <w:right w:w="15" w:type="dxa"/>
            </w:tcMar>
            <w:vAlign w:val="bottom"/>
          </w:tcPr>
          <w:p w:rsidR="0026138D" w:rsidRPr="00353FCF" w:rsidRDefault="0026138D" w:rsidP="0026138D">
            <w:pPr>
              <w:jc w:val="both"/>
              <w:rPr>
                <w:rFonts w:ascii="Verdana" w:hAnsi="Verdana"/>
                <w:noProof/>
                <w:sz w:val="16"/>
                <w:szCs w:val="16"/>
                <w:lang w:val="en-GB"/>
              </w:rPr>
            </w:pPr>
            <w:r w:rsidRPr="00353FCF">
              <w:rPr>
                <w:rFonts w:ascii="Verdana" w:hAnsi="Verdana"/>
                <w:noProof/>
                <w:sz w:val="16"/>
                <w:szCs w:val="16"/>
                <w:lang w:val="en-GB"/>
              </w:rPr>
              <w:t>Sales &amp; marketing expenses</w:t>
            </w:r>
          </w:p>
        </w:tc>
        <w:tc>
          <w:tcPr>
            <w:tcW w:w="1807" w:type="dxa"/>
            <w:tcBorders>
              <w:top w:val="nil"/>
              <w:left w:val="nil"/>
              <w:bottom w:val="nil"/>
              <w:right w:val="nil"/>
            </w:tcBorders>
            <w:noWrap/>
            <w:tcMar>
              <w:top w:w="0" w:type="dxa"/>
              <w:left w:w="15" w:type="dxa"/>
              <w:bottom w:w="0" w:type="dxa"/>
              <w:right w:w="15" w:type="dxa"/>
            </w:tcMar>
            <w:vAlign w:val="bottom"/>
          </w:tcPr>
          <w:p w:rsidR="0026138D" w:rsidRPr="00666B43" w:rsidRDefault="0026138D" w:rsidP="0026138D">
            <w:pPr>
              <w:jc w:val="right"/>
              <w:rPr>
                <w:rFonts w:ascii="Verdana" w:hAnsi="Verdana"/>
                <w:noProof/>
                <w:sz w:val="16"/>
                <w:szCs w:val="16"/>
              </w:rPr>
            </w:pPr>
            <w:r w:rsidRPr="00666B43">
              <w:rPr>
                <w:rFonts w:ascii="Verdana" w:hAnsi="Verdana"/>
                <w:noProof/>
                <w:sz w:val="16"/>
                <w:szCs w:val="16"/>
              </w:rPr>
              <w:t>(20</w:t>
            </w:r>
            <w:r>
              <w:rPr>
                <w:rFonts w:ascii="Verdana" w:hAnsi="Verdana"/>
                <w:noProof/>
                <w:sz w:val="16"/>
                <w:szCs w:val="16"/>
              </w:rPr>
              <w:t>,</w:t>
            </w:r>
            <w:r w:rsidRPr="00666B43">
              <w:rPr>
                <w:rFonts w:ascii="Verdana" w:hAnsi="Verdana"/>
                <w:noProof/>
                <w:sz w:val="16"/>
                <w:szCs w:val="16"/>
              </w:rPr>
              <w:t>587)</w:t>
            </w:r>
          </w:p>
        </w:tc>
        <w:tc>
          <w:tcPr>
            <w:tcW w:w="1453" w:type="dxa"/>
            <w:gridSpan w:val="2"/>
            <w:tcBorders>
              <w:top w:val="nil"/>
              <w:left w:val="nil"/>
              <w:bottom w:val="nil"/>
              <w:right w:val="nil"/>
            </w:tcBorders>
            <w:noWrap/>
            <w:tcMar>
              <w:top w:w="0" w:type="dxa"/>
              <w:left w:w="15" w:type="dxa"/>
              <w:bottom w:w="0" w:type="dxa"/>
              <w:right w:w="15" w:type="dxa"/>
            </w:tcMar>
            <w:vAlign w:val="bottom"/>
          </w:tcPr>
          <w:p w:rsidR="0026138D" w:rsidRPr="00FA6496" w:rsidRDefault="0026138D" w:rsidP="0026138D">
            <w:pPr>
              <w:jc w:val="right"/>
              <w:rPr>
                <w:rFonts w:ascii="Verdana" w:hAnsi="Verdana"/>
                <w:noProof/>
                <w:sz w:val="16"/>
                <w:szCs w:val="16"/>
              </w:rPr>
            </w:pPr>
            <w:r w:rsidRPr="00FA6496">
              <w:rPr>
                <w:rFonts w:ascii="Verdana" w:hAnsi="Verdana"/>
                <w:noProof/>
                <w:sz w:val="16"/>
                <w:szCs w:val="16"/>
              </w:rPr>
              <w:t>(12</w:t>
            </w:r>
            <w:r>
              <w:rPr>
                <w:rFonts w:ascii="Verdana" w:hAnsi="Verdana"/>
                <w:noProof/>
                <w:sz w:val="16"/>
                <w:szCs w:val="16"/>
              </w:rPr>
              <w:t>,</w:t>
            </w:r>
            <w:r w:rsidRPr="00FA6496">
              <w:rPr>
                <w:rFonts w:ascii="Verdana" w:hAnsi="Verdana"/>
                <w:noProof/>
                <w:sz w:val="16"/>
                <w:szCs w:val="16"/>
              </w:rPr>
              <w:t>172)</w:t>
            </w:r>
          </w:p>
        </w:tc>
      </w:tr>
      <w:tr w:rsidR="0026138D" w:rsidRPr="00353FCF" w:rsidTr="00FD088F">
        <w:trPr>
          <w:trHeight w:val="285"/>
        </w:trPr>
        <w:tc>
          <w:tcPr>
            <w:tcW w:w="3276" w:type="dxa"/>
            <w:tcBorders>
              <w:top w:val="nil"/>
              <w:left w:val="nil"/>
              <w:bottom w:val="nil"/>
              <w:right w:val="nil"/>
            </w:tcBorders>
            <w:noWrap/>
            <w:tcMar>
              <w:top w:w="0" w:type="dxa"/>
              <w:left w:w="15" w:type="dxa"/>
              <w:bottom w:w="0" w:type="dxa"/>
              <w:right w:w="15" w:type="dxa"/>
            </w:tcMar>
            <w:vAlign w:val="bottom"/>
          </w:tcPr>
          <w:p w:rsidR="0026138D" w:rsidRPr="00353FCF" w:rsidRDefault="0026138D" w:rsidP="0026138D">
            <w:pPr>
              <w:jc w:val="both"/>
              <w:rPr>
                <w:rFonts w:ascii="Verdana" w:hAnsi="Verdana"/>
                <w:noProof/>
                <w:sz w:val="16"/>
                <w:szCs w:val="16"/>
                <w:lang w:val="en-GB"/>
              </w:rPr>
            </w:pPr>
            <w:r w:rsidRPr="00353FCF">
              <w:rPr>
                <w:rFonts w:ascii="Verdana" w:hAnsi="Verdana"/>
                <w:noProof/>
                <w:sz w:val="16"/>
                <w:szCs w:val="16"/>
                <w:lang w:val="en-GB"/>
              </w:rPr>
              <w:t>Development expenses</w:t>
            </w:r>
          </w:p>
        </w:tc>
        <w:tc>
          <w:tcPr>
            <w:tcW w:w="1807" w:type="dxa"/>
            <w:tcBorders>
              <w:top w:val="nil"/>
              <w:left w:val="nil"/>
              <w:bottom w:val="nil"/>
              <w:right w:val="nil"/>
            </w:tcBorders>
            <w:noWrap/>
            <w:tcMar>
              <w:top w:w="0" w:type="dxa"/>
              <w:left w:w="15" w:type="dxa"/>
              <w:bottom w:w="0" w:type="dxa"/>
              <w:right w:w="15" w:type="dxa"/>
            </w:tcMar>
            <w:vAlign w:val="bottom"/>
          </w:tcPr>
          <w:p w:rsidR="0026138D" w:rsidRPr="00666B43" w:rsidRDefault="0026138D" w:rsidP="0026138D">
            <w:pPr>
              <w:jc w:val="right"/>
              <w:rPr>
                <w:rFonts w:ascii="Verdana" w:hAnsi="Verdana"/>
                <w:noProof/>
                <w:sz w:val="16"/>
                <w:szCs w:val="16"/>
              </w:rPr>
            </w:pPr>
            <w:r w:rsidRPr="00666B43">
              <w:rPr>
                <w:rFonts w:ascii="Verdana" w:hAnsi="Verdana"/>
                <w:noProof/>
                <w:sz w:val="16"/>
                <w:szCs w:val="16"/>
              </w:rPr>
              <w:t>(7</w:t>
            </w:r>
            <w:r>
              <w:rPr>
                <w:rFonts w:ascii="Verdana" w:hAnsi="Verdana"/>
                <w:noProof/>
                <w:sz w:val="16"/>
                <w:szCs w:val="16"/>
              </w:rPr>
              <w:t>,</w:t>
            </w:r>
            <w:r w:rsidRPr="00666B43">
              <w:rPr>
                <w:rFonts w:ascii="Verdana" w:hAnsi="Verdana"/>
                <w:noProof/>
                <w:sz w:val="16"/>
                <w:szCs w:val="16"/>
              </w:rPr>
              <w:t>644)</w:t>
            </w:r>
          </w:p>
        </w:tc>
        <w:tc>
          <w:tcPr>
            <w:tcW w:w="1453" w:type="dxa"/>
            <w:gridSpan w:val="2"/>
            <w:tcBorders>
              <w:top w:val="nil"/>
              <w:left w:val="nil"/>
              <w:bottom w:val="nil"/>
              <w:right w:val="nil"/>
            </w:tcBorders>
            <w:noWrap/>
            <w:tcMar>
              <w:top w:w="0" w:type="dxa"/>
              <w:left w:w="15" w:type="dxa"/>
              <w:bottom w:w="0" w:type="dxa"/>
              <w:right w:w="15" w:type="dxa"/>
            </w:tcMar>
            <w:vAlign w:val="bottom"/>
          </w:tcPr>
          <w:p w:rsidR="0026138D" w:rsidRPr="00FA6496" w:rsidRDefault="0026138D" w:rsidP="0026138D">
            <w:pPr>
              <w:jc w:val="right"/>
              <w:rPr>
                <w:rFonts w:ascii="Verdana" w:hAnsi="Verdana"/>
                <w:noProof/>
                <w:sz w:val="16"/>
                <w:szCs w:val="16"/>
              </w:rPr>
            </w:pPr>
            <w:r w:rsidRPr="00FA6496">
              <w:rPr>
                <w:rFonts w:ascii="Verdana" w:hAnsi="Verdana"/>
                <w:noProof/>
                <w:sz w:val="16"/>
                <w:szCs w:val="16"/>
              </w:rPr>
              <w:t>(4</w:t>
            </w:r>
            <w:r>
              <w:rPr>
                <w:rFonts w:ascii="Verdana" w:hAnsi="Verdana"/>
                <w:noProof/>
                <w:sz w:val="16"/>
                <w:szCs w:val="16"/>
              </w:rPr>
              <w:t>,</w:t>
            </w:r>
            <w:r w:rsidRPr="00FA6496">
              <w:rPr>
                <w:rFonts w:ascii="Verdana" w:hAnsi="Verdana"/>
                <w:noProof/>
                <w:sz w:val="16"/>
                <w:szCs w:val="16"/>
              </w:rPr>
              <w:t>237)</w:t>
            </w:r>
          </w:p>
        </w:tc>
      </w:tr>
      <w:tr w:rsidR="0026138D" w:rsidRPr="00353FCF" w:rsidTr="00FD088F">
        <w:trPr>
          <w:trHeight w:val="285"/>
        </w:trPr>
        <w:tc>
          <w:tcPr>
            <w:tcW w:w="3276" w:type="dxa"/>
            <w:tcBorders>
              <w:top w:val="nil"/>
              <w:left w:val="nil"/>
              <w:bottom w:val="nil"/>
              <w:right w:val="nil"/>
            </w:tcBorders>
            <w:noWrap/>
            <w:tcMar>
              <w:top w:w="0" w:type="dxa"/>
              <w:left w:w="15" w:type="dxa"/>
              <w:bottom w:w="0" w:type="dxa"/>
              <w:right w:w="15" w:type="dxa"/>
            </w:tcMar>
            <w:vAlign w:val="bottom"/>
          </w:tcPr>
          <w:p w:rsidR="0026138D" w:rsidRPr="00353FCF" w:rsidRDefault="0026138D" w:rsidP="0026138D">
            <w:pPr>
              <w:jc w:val="both"/>
              <w:rPr>
                <w:rFonts w:ascii="Verdana" w:hAnsi="Verdana"/>
                <w:noProof/>
                <w:sz w:val="16"/>
                <w:szCs w:val="16"/>
                <w:lang w:val="en-GB"/>
              </w:rPr>
            </w:pPr>
            <w:r w:rsidRPr="00353FCF">
              <w:rPr>
                <w:rFonts w:ascii="Verdana" w:hAnsi="Verdana"/>
                <w:noProof/>
                <w:sz w:val="16"/>
                <w:szCs w:val="16"/>
                <w:lang w:val="en-GB"/>
              </w:rPr>
              <w:t>Administrative expenses</w:t>
            </w:r>
          </w:p>
        </w:tc>
        <w:tc>
          <w:tcPr>
            <w:tcW w:w="1807" w:type="dxa"/>
            <w:tcBorders>
              <w:top w:val="nil"/>
              <w:left w:val="nil"/>
              <w:bottom w:val="nil"/>
              <w:right w:val="nil"/>
            </w:tcBorders>
            <w:noWrap/>
            <w:tcMar>
              <w:top w:w="0" w:type="dxa"/>
              <w:left w:w="15" w:type="dxa"/>
              <w:bottom w:w="0" w:type="dxa"/>
              <w:right w:w="15" w:type="dxa"/>
            </w:tcMar>
            <w:vAlign w:val="bottom"/>
          </w:tcPr>
          <w:p w:rsidR="0026138D" w:rsidRPr="00666B43" w:rsidRDefault="0026138D" w:rsidP="0026138D">
            <w:pPr>
              <w:jc w:val="right"/>
              <w:rPr>
                <w:rFonts w:ascii="Verdana" w:hAnsi="Verdana"/>
                <w:noProof/>
                <w:sz w:val="16"/>
                <w:szCs w:val="16"/>
              </w:rPr>
            </w:pPr>
            <w:r w:rsidRPr="00666B43">
              <w:rPr>
                <w:rFonts w:ascii="Verdana" w:hAnsi="Verdana"/>
                <w:noProof/>
                <w:sz w:val="16"/>
                <w:szCs w:val="16"/>
              </w:rPr>
              <w:t>(21</w:t>
            </w:r>
            <w:r>
              <w:rPr>
                <w:rFonts w:ascii="Verdana" w:hAnsi="Verdana"/>
                <w:noProof/>
                <w:sz w:val="16"/>
                <w:szCs w:val="16"/>
              </w:rPr>
              <w:t>,</w:t>
            </w:r>
            <w:r w:rsidRPr="00666B43">
              <w:rPr>
                <w:rFonts w:ascii="Verdana" w:hAnsi="Verdana"/>
                <w:noProof/>
                <w:sz w:val="16"/>
                <w:szCs w:val="16"/>
              </w:rPr>
              <w:t>883)</w:t>
            </w:r>
          </w:p>
        </w:tc>
        <w:tc>
          <w:tcPr>
            <w:tcW w:w="1453" w:type="dxa"/>
            <w:gridSpan w:val="2"/>
            <w:tcBorders>
              <w:top w:val="nil"/>
              <w:left w:val="nil"/>
              <w:bottom w:val="nil"/>
              <w:right w:val="nil"/>
            </w:tcBorders>
            <w:noWrap/>
            <w:tcMar>
              <w:top w:w="0" w:type="dxa"/>
              <w:left w:w="15" w:type="dxa"/>
              <w:bottom w:w="0" w:type="dxa"/>
              <w:right w:w="15" w:type="dxa"/>
            </w:tcMar>
            <w:vAlign w:val="bottom"/>
          </w:tcPr>
          <w:p w:rsidR="0026138D" w:rsidRPr="00FA6496" w:rsidRDefault="0026138D" w:rsidP="0026138D">
            <w:pPr>
              <w:jc w:val="right"/>
              <w:rPr>
                <w:rFonts w:ascii="Verdana" w:hAnsi="Verdana"/>
                <w:noProof/>
                <w:sz w:val="16"/>
                <w:szCs w:val="16"/>
              </w:rPr>
            </w:pPr>
            <w:r w:rsidRPr="00FA6496">
              <w:rPr>
                <w:rFonts w:ascii="Verdana" w:hAnsi="Verdana"/>
                <w:noProof/>
                <w:sz w:val="16"/>
                <w:szCs w:val="16"/>
              </w:rPr>
              <w:t>(7</w:t>
            </w:r>
            <w:r>
              <w:rPr>
                <w:rFonts w:ascii="Verdana" w:hAnsi="Verdana"/>
                <w:noProof/>
                <w:sz w:val="16"/>
                <w:szCs w:val="16"/>
              </w:rPr>
              <w:t>,</w:t>
            </w:r>
            <w:r w:rsidRPr="00FA6496">
              <w:rPr>
                <w:rFonts w:ascii="Verdana" w:hAnsi="Verdana"/>
                <w:noProof/>
                <w:sz w:val="16"/>
                <w:szCs w:val="16"/>
              </w:rPr>
              <w:t>100)</w:t>
            </w:r>
          </w:p>
        </w:tc>
      </w:tr>
      <w:tr w:rsidR="0026138D" w:rsidRPr="00353FCF" w:rsidTr="00FD088F">
        <w:trPr>
          <w:trHeight w:val="415"/>
        </w:trPr>
        <w:tc>
          <w:tcPr>
            <w:tcW w:w="3276" w:type="dxa"/>
            <w:tcBorders>
              <w:top w:val="nil"/>
              <w:left w:val="nil"/>
              <w:bottom w:val="nil"/>
              <w:right w:val="nil"/>
            </w:tcBorders>
            <w:noWrap/>
            <w:tcMar>
              <w:top w:w="0" w:type="dxa"/>
              <w:left w:w="15" w:type="dxa"/>
              <w:bottom w:w="0" w:type="dxa"/>
              <w:right w:w="15" w:type="dxa"/>
            </w:tcMar>
            <w:vAlign w:val="bottom"/>
          </w:tcPr>
          <w:p w:rsidR="0026138D" w:rsidRPr="00353FCF" w:rsidRDefault="0026138D" w:rsidP="0026138D">
            <w:pPr>
              <w:jc w:val="both"/>
              <w:rPr>
                <w:rFonts w:ascii="Verdana" w:hAnsi="Verdana"/>
                <w:noProof/>
                <w:sz w:val="16"/>
                <w:szCs w:val="16"/>
                <w:lang w:val="en-GB"/>
              </w:rPr>
            </w:pPr>
            <w:r w:rsidRPr="00353FCF">
              <w:rPr>
                <w:rFonts w:ascii="Verdana" w:hAnsi="Verdana"/>
                <w:noProof/>
                <w:sz w:val="16"/>
                <w:szCs w:val="16"/>
                <w:lang w:val="en-GB"/>
              </w:rPr>
              <w:t>Profit from operations EBIT</w:t>
            </w:r>
          </w:p>
        </w:tc>
        <w:tc>
          <w:tcPr>
            <w:tcW w:w="1807" w:type="dxa"/>
            <w:tcBorders>
              <w:top w:val="nil"/>
              <w:left w:val="nil"/>
              <w:bottom w:val="nil"/>
              <w:right w:val="nil"/>
            </w:tcBorders>
            <w:noWrap/>
            <w:tcMar>
              <w:top w:w="0" w:type="dxa"/>
              <w:left w:w="15" w:type="dxa"/>
              <w:bottom w:w="0" w:type="dxa"/>
              <w:right w:w="15" w:type="dxa"/>
            </w:tcMar>
            <w:vAlign w:val="bottom"/>
          </w:tcPr>
          <w:p w:rsidR="0026138D" w:rsidRPr="00666B43" w:rsidRDefault="0026138D" w:rsidP="0026138D">
            <w:pPr>
              <w:jc w:val="right"/>
              <w:rPr>
                <w:rFonts w:ascii="Verdana" w:hAnsi="Verdana"/>
                <w:noProof/>
                <w:sz w:val="16"/>
                <w:szCs w:val="16"/>
              </w:rPr>
            </w:pPr>
            <w:r w:rsidRPr="00666B43">
              <w:rPr>
                <w:rFonts w:ascii="Verdana" w:hAnsi="Verdana"/>
                <w:noProof/>
                <w:sz w:val="16"/>
                <w:szCs w:val="16"/>
              </w:rPr>
              <w:t>(7</w:t>
            </w:r>
            <w:r>
              <w:rPr>
                <w:rFonts w:ascii="Verdana" w:hAnsi="Verdana"/>
                <w:noProof/>
                <w:sz w:val="16"/>
                <w:szCs w:val="16"/>
              </w:rPr>
              <w:t>,</w:t>
            </w:r>
            <w:r w:rsidRPr="00666B43">
              <w:rPr>
                <w:rFonts w:ascii="Verdana" w:hAnsi="Verdana"/>
                <w:noProof/>
                <w:sz w:val="16"/>
                <w:szCs w:val="16"/>
              </w:rPr>
              <w:t>419)</w:t>
            </w:r>
          </w:p>
        </w:tc>
        <w:tc>
          <w:tcPr>
            <w:tcW w:w="1453" w:type="dxa"/>
            <w:gridSpan w:val="2"/>
            <w:tcBorders>
              <w:top w:val="nil"/>
              <w:left w:val="nil"/>
              <w:bottom w:val="nil"/>
              <w:right w:val="nil"/>
            </w:tcBorders>
            <w:noWrap/>
            <w:tcMar>
              <w:top w:w="0" w:type="dxa"/>
              <w:left w:w="15" w:type="dxa"/>
              <w:bottom w:w="0" w:type="dxa"/>
              <w:right w:w="15" w:type="dxa"/>
            </w:tcMar>
            <w:vAlign w:val="bottom"/>
          </w:tcPr>
          <w:p w:rsidR="0026138D" w:rsidRPr="00FA6496" w:rsidRDefault="0026138D" w:rsidP="0026138D">
            <w:pPr>
              <w:jc w:val="right"/>
              <w:rPr>
                <w:rFonts w:ascii="Verdana" w:hAnsi="Verdana"/>
                <w:noProof/>
                <w:sz w:val="16"/>
                <w:szCs w:val="16"/>
              </w:rPr>
            </w:pPr>
            <w:r w:rsidRPr="00FA6496">
              <w:rPr>
                <w:rFonts w:ascii="Verdana" w:hAnsi="Verdana"/>
                <w:noProof/>
                <w:sz w:val="16"/>
                <w:szCs w:val="16"/>
              </w:rPr>
              <w:t>1</w:t>
            </w:r>
            <w:r>
              <w:rPr>
                <w:rFonts w:ascii="Verdana" w:hAnsi="Verdana"/>
                <w:noProof/>
                <w:sz w:val="16"/>
                <w:szCs w:val="16"/>
              </w:rPr>
              <w:t>,</w:t>
            </w:r>
            <w:r w:rsidRPr="00FA6496">
              <w:rPr>
                <w:rFonts w:ascii="Verdana" w:hAnsi="Verdana"/>
                <w:noProof/>
                <w:sz w:val="16"/>
                <w:szCs w:val="16"/>
              </w:rPr>
              <w:t>602</w:t>
            </w:r>
          </w:p>
        </w:tc>
      </w:tr>
      <w:tr w:rsidR="0026138D" w:rsidRPr="00353FCF" w:rsidTr="00FD088F">
        <w:trPr>
          <w:trHeight w:val="356"/>
        </w:trPr>
        <w:tc>
          <w:tcPr>
            <w:tcW w:w="3276" w:type="dxa"/>
            <w:tcBorders>
              <w:top w:val="nil"/>
              <w:left w:val="nil"/>
              <w:bottom w:val="nil"/>
              <w:right w:val="nil"/>
            </w:tcBorders>
            <w:noWrap/>
            <w:tcMar>
              <w:top w:w="0" w:type="dxa"/>
              <w:left w:w="15" w:type="dxa"/>
              <w:bottom w:w="0" w:type="dxa"/>
              <w:right w:w="15" w:type="dxa"/>
            </w:tcMar>
            <w:vAlign w:val="bottom"/>
          </w:tcPr>
          <w:p w:rsidR="0026138D" w:rsidRPr="00353FCF" w:rsidRDefault="0026138D" w:rsidP="0026138D">
            <w:pPr>
              <w:jc w:val="both"/>
              <w:rPr>
                <w:rFonts w:ascii="Verdana" w:hAnsi="Verdana"/>
                <w:noProof/>
                <w:sz w:val="16"/>
                <w:szCs w:val="16"/>
                <w:lang w:val="en-GB"/>
              </w:rPr>
            </w:pPr>
            <w:r w:rsidRPr="00353FCF">
              <w:rPr>
                <w:rFonts w:ascii="Verdana" w:hAnsi="Verdana"/>
                <w:noProof/>
                <w:sz w:val="16"/>
                <w:szCs w:val="16"/>
                <w:lang w:val="en-GB"/>
              </w:rPr>
              <w:t>Finance costs – net</w:t>
            </w:r>
          </w:p>
        </w:tc>
        <w:tc>
          <w:tcPr>
            <w:tcW w:w="1807" w:type="dxa"/>
            <w:tcBorders>
              <w:top w:val="nil"/>
              <w:left w:val="nil"/>
              <w:bottom w:val="nil"/>
              <w:right w:val="nil"/>
            </w:tcBorders>
            <w:noWrap/>
            <w:tcMar>
              <w:top w:w="0" w:type="dxa"/>
              <w:left w:w="15" w:type="dxa"/>
              <w:bottom w:w="0" w:type="dxa"/>
              <w:right w:w="15" w:type="dxa"/>
            </w:tcMar>
            <w:vAlign w:val="bottom"/>
          </w:tcPr>
          <w:p w:rsidR="0026138D" w:rsidRPr="00666B43" w:rsidRDefault="0026138D" w:rsidP="0026138D">
            <w:pPr>
              <w:jc w:val="right"/>
              <w:rPr>
                <w:rFonts w:ascii="Verdana" w:hAnsi="Verdana"/>
                <w:noProof/>
                <w:sz w:val="16"/>
                <w:szCs w:val="16"/>
              </w:rPr>
            </w:pPr>
            <w:r w:rsidRPr="00666B43">
              <w:rPr>
                <w:rFonts w:ascii="Verdana" w:hAnsi="Verdana"/>
                <w:noProof/>
                <w:sz w:val="16"/>
                <w:szCs w:val="16"/>
              </w:rPr>
              <w:t>(22</w:t>
            </w:r>
            <w:r>
              <w:rPr>
                <w:rFonts w:ascii="Verdana" w:hAnsi="Verdana"/>
                <w:noProof/>
                <w:sz w:val="16"/>
                <w:szCs w:val="16"/>
              </w:rPr>
              <w:t>,</w:t>
            </w:r>
            <w:r w:rsidRPr="00666B43">
              <w:rPr>
                <w:rFonts w:ascii="Verdana" w:hAnsi="Verdana"/>
                <w:noProof/>
                <w:sz w:val="16"/>
                <w:szCs w:val="16"/>
              </w:rPr>
              <w:t>387)</w:t>
            </w:r>
          </w:p>
        </w:tc>
        <w:tc>
          <w:tcPr>
            <w:tcW w:w="1453" w:type="dxa"/>
            <w:gridSpan w:val="2"/>
            <w:tcBorders>
              <w:top w:val="nil"/>
              <w:left w:val="nil"/>
              <w:bottom w:val="nil"/>
              <w:right w:val="nil"/>
            </w:tcBorders>
            <w:noWrap/>
            <w:tcMar>
              <w:top w:w="0" w:type="dxa"/>
              <w:left w:w="15" w:type="dxa"/>
              <w:bottom w:w="0" w:type="dxa"/>
              <w:right w:w="15" w:type="dxa"/>
            </w:tcMar>
            <w:vAlign w:val="bottom"/>
          </w:tcPr>
          <w:p w:rsidR="0026138D" w:rsidRPr="00FA6496" w:rsidRDefault="0026138D" w:rsidP="0026138D">
            <w:pPr>
              <w:jc w:val="right"/>
              <w:rPr>
                <w:rFonts w:ascii="Verdana" w:hAnsi="Verdana"/>
                <w:noProof/>
                <w:sz w:val="16"/>
                <w:szCs w:val="16"/>
              </w:rPr>
            </w:pPr>
            <w:r w:rsidRPr="00FA6496">
              <w:rPr>
                <w:rFonts w:ascii="Verdana" w:hAnsi="Verdana"/>
                <w:noProof/>
                <w:sz w:val="16"/>
                <w:szCs w:val="16"/>
              </w:rPr>
              <w:t>(2</w:t>
            </w:r>
            <w:r>
              <w:rPr>
                <w:rFonts w:ascii="Verdana" w:hAnsi="Verdana"/>
                <w:noProof/>
                <w:sz w:val="16"/>
                <w:szCs w:val="16"/>
              </w:rPr>
              <w:t>,</w:t>
            </w:r>
            <w:r w:rsidRPr="00FA6496">
              <w:rPr>
                <w:rFonts w:ascii="Verdana" w:hAnsi="Verdana"/>
                <w:noProof/>
                <w:sz w:val="16"/>
                <w:szCs w:val="16"/>
              </w:rPr>
              <w:t>277)</w:t>
            </w:r>
          </w:p>
        </w:tc>
      </w:tr>
      <w:tr w:rsidR="0026138D" w:rsidRPr="00353FCF" w:rsidTr="00FD088F">
        <w:trPr>
          <w:trHeight w:val="285"/>
        </w:trPr>
        <w:tc>
          <w:tcPr>
            <w:tcW w:w="3276" w:type="dxa"/>
            <w:tcBorders>
              <w:top w:val="nil"/>
              <w:left w:val="nil"/>
              <w:bottom w:val="nil"/>
              <w:right w:val="nil"/>
            </w:tcBorders>
            <w:noWrap/>
            <w:tcMar>
              <w:top w:w="0" w:type="dxa"/>
              <w:left w:w="15" w:type="dxa"/>
              <w:bottom w:w="0" w:type="dxa"/>
              <w:right w:w="15" w:type="dxa"/>
            </w:tcMar>
            <w:vAlign w:val="bottom"/>
          </w:tcPr>
          <w:p w:rsidR="0026138D" w:rsidRPr="00353FCF" w:rsidRDefault="0026138D" w:rsidP="0026138D">
            <w:pPr>
              <w:jc w:val="both"/>
              <w:rPr>
                <w:rFonts w:ascii="Verdana" w:hAnsi="Verdana"/>
                <w:noProof/>
                <w:sz w:val="16"/>
                <w:szCs w:val="16"/>
                <w:lang w:val="en-GB"/>
              </w:rPr>
            </w:pPr>
            <w:r w:rsidRPr="00353FCF">
              <w:rPr>
                <w:rFonts w:ascii="Verdana" w:hAnsi="Verdana"/>
                <w:noProof/>
                <w:sz w:val="16"/>
                <w:szCs w:val="16"/>
                <w:lang w:val="en-GB"/>
              </w:rPr>
              <w:t>Profit of associates</w:t>
            </w:r>
          </w:p>
        </w:tc>
        <w:tc>
          <w:tcPr>
            <w:tcW w:w="1807" w:type="dxa"/>
            <w:tcBorders>
              <w:top w:val="nil"/>
              <w:left w:val="nil"/>
              <w:bottom w:val="nil"/>
              <w:right w:val="nil"/>
            </w:tcBorders>
            <w:noWrap/>
            <w:tcMar>
              <w:top w:w="0" w:type="dxa"/>
              <w:left w:w="15" w:type="dxa"/>
              <w:bottom w:w="0" w:type="dxa"/>
              <w:right w:w="15" w:type="dxa"/>
            </w:tcMar>
            <w:vAlign w:val="bottom"/>
          </w:tcPr>
          <w:p w:rsidR="0026138D" w:rsidRPr="00666B43" w:rsidRDefault="0026138D" w:rsidP="0026138D">
            <w:pPr>
              <w:jc w:val="right"/>
              <w:rPr>
                <w:rFonts w:ascii="Verdana" w:hAnsi="Verdana"/>
                <w:noProof/>
                <w:sz w:val="16"/>
                <w:szCs w:val="16"/>
              </w:rPr>
            </w:pPr>
            <w:r w:rsidRPr="00666B43">
              <w:rPr>
                <w:rFonts w:ascii="Verdana" w:hAnsi="Verdana"/>
                <w:noProof/>
                <w:sz w:val="16"/>
                <w:szCs w:val="16"/>
              </w:rPr>
              <w:t>0</w:t>
            </w:r>
          </w:p>
        </w:tc>
        <w:tc>
          <w:tcPr>
            <w:tcW w:w="1453" w:type="dxa"/>
            <w:gridSpan w:val="2"/>
            <w:tcBorders>
              <w:top w:val="nil"/>
              <w:left w:val="nil"/>
              <w:bottom w:val="nil"/>
              <w:right w:val="nil"/>
            </w:tcBorders>
            <w:noWrap/>
            <w:tcMar>
              <w:top w:w="0" w:type="dxa"/>
              <w:left w:w="15" w:type="dxa"/>
              <w:bottom w:w="0" w:type="dxa"/>
              <w:right w:w="15" w:type="dxa"/>
            </w:tcMar>
            <w:vAlign w:val="bottom"/>
          </w:tcPr>
          <w:p w:rsidR="0026138D" w:rsidRPr="00FA6496" w:rsidRDefault="0026138D" w:rsidP="0026138D">
            <w:pPr>
              <w:jc w:val="right"/>
              <w:rPr>
                <w:rFonts w:ascii="Verdana" w:hAnsi="Verdana"/>
                <w:noProof/>
                <w:sz w:val="16"/>
                <w:szCs w:val="16"/>
              </w:rPr>
            </w:pPr>
            <w:r w:rsidRPr="00FA6496">
              <w:rPr>
                <w:rFonts w:ascii="Verdana" w:hAnsi="Verdana"/>
                <w:noProof/>
                <w:sz w:val="16"/>
                <w:szCs w:val="16"/>
              </w:rPr>
              <w:t>5</w:t>
            </w:r>
            <w:r>
              <w:rPr>
                <w:rFonts w:ascii="Verdana" w:hAnsi="Verdana"/>
                <w:noProof/>
                <w:sz w:val="16"/>
                <w:szCs w:val="16"/>
              </w:rPr>
              <w:t>,</w:t>
            </w:r>
            <w:r w:rsidRPr="00FA6496">
              <w:rPr>
                <w:rFonts w:ascii="Verdana" w:hAnsi="Verdana"/>
                <w:noProof/>
                <w:sz w:val="16"/>
                <w:szCs w:val="16"/>
              </w:rPr>
              <w:t>125</w:t>
            </w:r>
          </w:p>
        </w:tc>
      </w:tr>
      <w:tr w:rsidR="0026138D" w:rsidRPr="00353FCF" w:rsidTr="00FD088F">
        <w:trPr>
          <w:trHeight w:val="285"/>
        </w:trPr>
        <w:tc>
          <w:tcPr>
            <w:tcW w:w="3276" w:type="dxa"/>
            <w:tcBorders>
              <w:top w:val="nil"/>
              <w:left w:val="nil"/>
              <w:bottom w:val="nil"/>
              <w:right w:val="nil"/>
            </w:tcBorders>
            <w:noWrap/>
            <w:tcMar>
              <w:top w:w="0" w:type="dxa"/>
              <w:left w:w="15" w:type="dxa"/>
              <w:bottom w:w="0" w:type="dxa"/>
              <w:right w:w="15" w:type="dxa"/>
            </w:tcMar>
            <w:vAlign w:val="bottom"/>
          </w:tcPr>
          <w:p w:rsidR="0026138D" w:rsidRPr="00353FCF" w:rsidRDefault="0026138D" w:rsidP="0026138D">
            <w:pPr>
              <w:jc w:val="both"/>
              <w:rPr>
                <w:rFonts w:ascii="Verdana" w:hAnsi="Verdana"/>
                <w:noProof/>
                <w:sz w:val="16"/>
                <w:szCs w:val="16"/>
                <w:lang w:val="en-GB"/>
              </w:rPr>
            </w:pPr>
            <w:r w:rsidRPr="00353FCF">
              <w:rPr>
                <w:rFonts w:ascii="Verdana" w:hAnsi="Verdana"/>
                <w:noProof/>
                <w:sz w:val="16"/>
                <w:szCs w:val="16"/>
                <w:lang w:val="en-GB"/>
              </w:rPr>
              <w:t xml:space="preserve">Profit before tax </w:t>
            </w:r>
          </w:p>
        </w:tc>
        <w:tc>
          <w:tcPr>
            <w:tcW w:w="1807" w:type="dxa"/>
            <w:tcBorders>
              <w:top w:val="nil"/>
              <w:left w:val="nil"/>
              <w:bottom w:val="nil"/>
              <w:right w:val="nil"/>
            </w:tcBorders>
            <w:noWrap/>
            <w:tcMar>
              <w:top w:w="0" w:type="dxa"/>
              <w:left w:w="15" w:type="dxa"/>
              <w:bottom w:w="0" w:type="dxa"/>
              <w:right w:w="15" w:type="dxa"/>
            </w:tcMar>
            <w:vAlign w:val="bottom"/>
          </w:tcPr>
          <w:p w:rsidR="0026138D" w:rsidRPr="00666B43" w:rsidRDefault="0026138D" w:rsidP="0026138D">
            <w:pPr>
              <w:jc w:val="right"/>
              <w:rPr>
                <w:rFonts w:ascii="Verdana" w:hAnsi="Verdana"/>
                <w:noProof/>
                <w:sz w:val="16"/>
                <w:szCs w:val="16"/>
              </w:rPr>
            </w:pPr>
            <w:r w:rsidRPr="00666B43">
              <w:rPr>
                <w:rFonts w:ascii="Verdana" w:hAnsi="Verdana"/>
                <w:noProof/>
                <w:sz w:val="16"/>
                <w:szCs w:val="16"/>
              </w:rPr>
              <w:t>(29</w:t>
            </w:r>
            <w:r>
              <w:rPr>
                <w:rFonts w:ascii="Verdana" w:hAnsi="Verdana"/>
                <w:noProof/>
                <w:sz w:val="16"/>
                <w:szCs w:val="16"/>
              </w:rPr>
              <w:t>,</w:t>
            </w:r>
            <w:r w:rsidRPr="00666B43">
              <w:rPr>
                <w:rFonts w:ascii="Verdana" w:hAnsi="Verdana"/>
                <w:noProof/>
                <w:sz w:val="16"/>
                <w:szCs w:val="16"/>
              </w:rPr>
              <w:t>806)</w:t>
            </w:r>
          </w:p>
        </w:tc>
        <w:tc>
          <w:tcPr>
            <w:tcW w:w="1453" w:type="dxa"/>
            <w:gridSpan w:val="2"/>
            <w:tcBorders>
              <w:top w:val="nil"/>
              <w:left w:val="nil"/>
              <w:bottom w:val="nil"/>
              <w:right w:val="nil"/>
            </w:tcBorders>
            <w:noWrap/>
            <w:tcMar>
              <w:top w:w="0" w:type="dxa"/>
              <w:left w:w="15" w:type="dxa"/>
              <w:bottom w:w="0" w:type="dxa"/>
              <w:right w:w="15" w:type="dxa"/>
            </w:tcMar>
            <w:vAlign w:val="bottom"/>
          </w:tcPr>
          <w:p w:rsidR="0026138D" w:rsidRPr="00FA6496" w:rsidRDefault="0026138D" w:rsidP="0026138D">
            <w:pPr>
              <w:jc w:val="right"/>
              <w:rPr>
                <w:rFonts w:ascii="Verdana" w:hAnsi="Verdana"/>
                <w:noProof/>
                <w:sz w:val="16"/>
                <w:szCs w:val="16"/>
              </w:rPr>
            </w:pPr>
            <w:r w:rsidRPr="00FA6496">
              <w:rPr>
                <w:rFonts w:ascii="Verdana" w:hAnsi="Verdana"/>
                <w:noProof/>
                <w:sz w:val="16"/>
                <w:szCs w:val="16"/>
              </w:rPr>
              <w:t>4</w:t>
            </w:r>
            <w:r>
              <w:rPr>
                <w:rFonts w:ascii="Verdana" w:hAnsi="Verdana"/>
                <w:noProof/>
                <w:sz w:val="16"/>
                <w:szCs w:val="16"/>
              </w:rPr>
              <w:t>,</w:t>
            </w:r>
            <w:r w:rsidRPr="00FA6496">
              <w:rPr>
                <w:rFonts w:ascii="Verdana" w:hAnsi="Verdana"/>
                <w:noProof/>
                <w:sz w:val="16"/>
                <w:szCs w:val="16"/>
              </w:rPr>
              <w:t>450</w:t>
            </w:r>
          </w:p>
        </w:tc>
      </w:tr>
      <w:tr w:rsidR="0026138D" w:rsidRPr="00353FCF" w:rsidTr="00FD088F">
        <w:trPr>
          <w:trHeight w:val="285"/>
        </w:trPr>
        <w:tc>
          <w:tcPr>
            <w:tcW w:w="3276" w:type="dxa"/>
            <w:tcBorders>
              <w:top w:val="nil"/>
              <w:left w:val="nil"/>
              <w:bottom w:val="nil"/>
              <w:right w:val="nil"/>
            </w:tcBorders>
            <w:noWrap/>
            <w:tcMar>
              <w:top w:w="0" w:type="dxa"/>
              <w:left w:w="15" w:type="dxa"/>
              <w:bottom w:w="0" w:type="dxa"/>
              <w:right w:w="15" w:type="dxa"/>
            </w:tcMar>
            <w:vAlign w:val="bottom"/>
          </w:tcPr>
          <w:p w:rsidR="0026138D" w:rsidRPr="00353FCF" w:rsidRDefault="0026138D" w:rsidP="0026138D">
            <w:pPr>
              <w:jc w:val="both"/>
              <w:rPr>
                <w:rFonts w:ascii="Verdana" w:hAnsi="Verdana"/>
                <w:noProof/>
                <w:sz w:val="16"/>
                <w:szCs w:val="16"/>
                <w:lang w:val="en-GB"/>
              </w:rPr>
            </w:pPr>
            <w:r w:rsidRPr="00353FCF">
              <w:rPr>
                <w:rFonts w:ascii="Verdana" w:hAnsi="Verdana"/>
                <w:noProof/>
                <w:sz w:val="16"/>
                <w:szCs w:val="16"/>
                <w:lang w:val="en-GB"/>
              </w:rPr>
              <w:t>Tax expense</w:t>
            </w:r>
          </w:p>
        </w:tc>
        <w:tc>
          <w:tcPr>
            <w:tcW w:w="1807" w:type="dxa"/>
            <w:tcBorders>
              <w:top w:val="nil"/>
              <w:left w:val="nil"/>
              <w:bottom w:val="nil"/>
              <w:right w:val="nil"/>
            </w:tcBorders>
            <w:noWrap/>
            <w:tcMar>
              <w:top w:w="0" w:type="dxa"/>
              <w:left w:w="15" w:type="dxa"/>
              <w:bottom w:w="0" w:type="dxa"/>
              <w:right w:w="15" w:type="dxa"/>
            </w:tcMar>
            <w:vAlign w:val="bottom"/>
          </w:tcPr>
          <w:p w:rsidR="0026138D" w:rsidRPr="00666B43" w:rsidRDefault="0026138D" w:rsidP="00726CCE">
            <w:pPr>
              <w:jc w:val="right"/>
              <w:rPr>
                <w:rFonts w:ascii="Verdana" w:hAnsi="Verdana"/>
                <w:noProof/>
                <w:sz w:val="16"/>
                <w:szCs w:val="16"/>
              </w:rPr>
            </w:pPr>
            <w:r w:rsidRPr="00666B43">
              <w:rPr>
                <w:rFonts w:ascii="Verdana" w:hAnsi="Verdana"/>
                <w:noProof/>
                <w:sz w:val="16"/>
                <w:szCs w:val="16"/>
              </w:rPr>
              <w:t>6</w:t>
            </w:r>
            <w:r>
              <w:rPr>
                <w:rFonts w:ascii="Verdana" w:hAnsi="Verdana"/>
                <w:noProof/>
                <w:sz w:val="16"/>
                <w:szCs w:val="16"/>
              </w:rPr>
              <w:t>,</w:t>
            </w:r>
            <w:r w:rsidRPr="00666B43">
              <w:rPr>
                <w:rFonts w:ascii="Verdana" w:hAnsi="Verdana"/>
                <w:noProof/>
                <w:sz w:val="16"/>
                <w:szCs w:val="16"/>
              </w:rPr>
              <w:t>07</w:t>
            </w:r>
            <w:r w:rsidR="00726CCE">
              <w:rPr>
                <w:rFonts w:ascii="Verdana" w:hAnsi="Verdana"/>
                <w:noProof/>
                <w:sz w:val="16"/>
                <w:szCs w:val="16"/>
              </w:rPr>
              <w:t>6</w:t>
            </w:r>
          </w:p>
        </w:tc>
        <w:tc>
          <w:tcPr>
            <w:tcW w:w="1453" w:type="dxa"/>
            <w:gridSpan w:val="2"/>
            <w:tcBorders>
              <w:top w:val="nil"/>
              <w:left w:val="nil"/>
              <w:bottom w:val="nil"/>
              <w:right w:val="nil"/>
            </w:tcBorders>
            <w:noWrap/>
            <w:tcMar>
              <w:top w:w="0" w:type="dxa"/>
              <w:left w:w="15" w:type="dxa"/>
              <w:bottom w:w="0" w:type="dxa"/>
              <w:right w:w="15" w:type="dxa"/>
            </w:tcMar>
            <w:vAlign w:val="bottom"/>
          </w:tcPr>
          <w:p w:rsidR="0026138D" w:rsidRPr="00FA6496" w:rsidRDefault="0026138D" w:rsidP="0026138D">
            <w:pPr>
              <w:jc w:val="right"/>
              <w:rPr>
                <w:rFonts w:ascii="Verdana" w:hAnsi="Verdana"/>
                <w:noProof/>
                <w:sz w:val="16"/>
                <w:szCs w:val="16"/>
              </w:rPr>
            </w:pPr>
            <w:r w:rsidRPr="00FA6496">
              <w:rPr>
                <w:rFonts w:ascii="Verdana" w:hAnsi="Verdana"/>
                <w:noProof/>
                <w:sz w:val="16"/>
                <w:szCs w:val="16"/>
              </w:rPr>
              <w:t>(1</w:t>
            </w:r>
            <w:r>
              <w:rPr>
                <w:rFonts w:ascii="Verdana" w:hAnsi="Verdana"/>
                <w:noProof/>
                <w:sz w:val="16"/>
                <w:szCs w:val="16"/>
              </w:rPr>
              <w:t>,</w:t>
            </w:r>
            <w:r w:rsidRPr="00FA6496">
              <w:rPr>
                <w:rFonts w:ascii="Verdana" w:hAnsi="Verdana"/>
                <w:noProof/>
                <w:sz w:val="16"/>
                <w:szCs w:val="16"/>
              </w:rPr>
              <w:t>077)</w:t>
            </w:r>
          </w:p>
        </w:tc>
      </w:tr>
      <w:tr w:rsidR="0026138D" w:rsidRPr="00353FCF" w:rsidTr="00FD088F">
        <w:trPr>
          <w:trHeight w:val="481"/>
        </w:trPr>
        <w:tc>
          <w:tcPr>
            <w:tcW w:w="3276" w:type="dxa"/>
            <w:tcBorders>
              <w:top w:val="nil"/>
              <w:left w:val="nil"/>
              <w:bottom w:val="nil"/>
              <w:right w:val="nil"/>
            </w:tcBorders>
            <w:noWrap/>
            <w:tcMar>
              <w:top w:w="0" w:type="dxa"/>
              <w:left w:w="15" w:type="dxa"/>
              <w:bottom w:w="0" w:type="dxa"/>
              <w:right w:w="15" w:type="dxa"/>
            </w:tcMar>
            <w:vAlign w:val="bottom"/>
          </w:tcPr>
          <w:p w:rsidR="0026138D" w:rsidRPr="00353FCF" w:rsidRDefault="0026138D" w:rsidP="0026138D">
            <w:pPr>
              <w:jc w:val="both"/>
              <w:rPr>
                <w:rFonts w:ascii="Verdana" w:hAnsi="Verdana"/>
                <w:noProof/>
                <w:sz w:val="16"/>
                <w:szCs w:val="16"/>
                <w:lang w:val="en-GB"/>
              </w:rPr>
            </w:pPr>
            <w:r w:rsidRPr="00353FCF">
              <w:rPr>
                <w:rFonts w:ascii="Verdana" w:hAnsi="Verdana"/>
                <w:noProof/>
                <w:sz w:val="16"/>
                <w:szCs w:val="16"/>
                <w:lang w:val="en-GB"/>
              </w:rPr>
              <w:t>Profit for period</w:t>
            </w:r>
          </w:p>
        </w:tc>
        <w:tc>
          <w:tcPr>
            <w:tcW w:w="1807" w:type="dxa"/>
            <w:tcBorders>
              <w:top w:val="nil"/>
              <w:left w:val="nil"/>
              <w:bottom w:val="nil"/>
              <w:right w:val="nil"/>
            </w:tcBorders>
            <w:noWrap/>
            <w:tcMar>
              <w:top w:w="0" w:type="dxa"/>
              <w:left w:w="15" w:type="dxa"/>
              <w:bottom w:w="0" w:type="dxa"/>
              <w:right w:w="15" w:type="dxa"/>
            </w:tcMar>
            <w:vAlign w:val="bottom"/>
          </w:tcPr>
          <w:p w:rsidR="0026138D" w:rsidRPr="00666B43" w:rsidRDefault="0026138D" w:rsidP="00726CCE">
            <w:pPr>
              <w:jc w:val="right"/>
              <w:rPr>
                <w:rFonts w:ascii="Verdana" w:hAnsi="Verdana"/>
                <w:noProof/>
                <w:sz w:val="16"/>
                <w:szCs w:val="16"/>
              </w:rPr>
            </w:pPr>
            <w:r w:rsidRPr="00666B43">
              <w:rPr>
                <w:rFonts w:ascii="Verdana" w:hAnsi="Verdana"/>
                <w:noProof/>
                <w:sz w:val="16"/>
                <w:szCs w:val="16"/>
              </w:rPr>
              <w:t>(23</w:t>
            </w:r>
            <w:r>
              <w:rPr>
                <w:rFonts w:ascii="Verdana" w:hAnsi="Verdana"/>
                <w:noProof/>
                <w:sz w:val="16"/>
                <w:szCs w:val="16"/>
              </w:rPr>
              <w:t>,</w:t>
            </w:r>
            <w:r w:rsidRPr="00666B43">
              <w:rPr>
                <w:rFonts w:ascii="Verdana" w:hAnsi="Verdana"/>
                <w:noProof/>
                <w:sz w:val="16"/>
                <w:szCs w:val="16"/>
              </w:rPr>
              <w:t>73</w:t>
            </w:r>
            <w:r w:rsidR="00726CCE">
              <w:rPr>
                <w:rFonts w:ascii="Verdana" w:hAnsi="Verdana"/>
                <w:noProof/>
                <w:sz w:val="16"/>
                <w:szCs w:val="16"/>
              </w:rPr>
              <w:t>0</w:t>
            </w:r>
            <w:r w:rsidRPr="00666B43">
              <w:rPr>
                <w:rFonts w:ascii="Verdana" w:hAnsi="Verdana"/>
                <w:noProof/>
                <w:sz w:val="16"/>
                <w:szCs w:val="16"/>
              </w:rPr>
              <w:t>)</w:t>
            </w:r>
          </w:p>
        </w:tc>
        <w:tc>
          <w:tcPr>
            <w:tcW w:w="1453" w:type="dxa"/>
            <w:gridSpan w:val="2"/>
            <w:tcBorders>
              <w:top w:val="nil"/>
              <w:left w:val="nil"/>
              <w:bottom w:val="nil"/>
              <w:right w:val="nil"/>
            </w:tcBorders>
            <w:noWrap/>
            <w:tcMar>
              <w:top w:w="0" w:type="dxa"/>
              <w:left w:w="15" w:type="dxa"/>
              <w:bottom w:w="0" w:type="dxa"/>
              <w:right w:w="15" w:type="dxa"/>
            </w:tcMar>
            <w:vAlign w:val="bottom"/>
          </w:tcPr>
          <w:p w:rsidR="0026138D" w:rsidRPr="00FA6496" w:rsidRDefault="0026138D" w:rsidP="0026138D">
            <w:pPr>
              <w:jc w:val="right"/>
              <w:rPr>
                <w:rFonts w:ascii="Verdana" w:hAnsi="Verdana"/>
                <w:noProof/>
                <w:sz w:val="16"/>
                <w:szCs w:val="16"/>
              </w:rPr>
            </w:pPr>
            <w:r w:rsidRPr="00FA6496">
              <w:rPr>
                <w:rFonts w:ascii="Verdana" w:hAnsi="Verdana"/>
                <w:noProof/>
                <w:sz w:val="16"/>
                <w:szCs w:val="16"/>
              </w:rPr>
              <w:t>3</w:t>
            </w:r>
            <w:r>
              <w:rPr>
                <w:rFonts w:ascii="Verdana" w:hAnsi="Verdana"/>
                <w:noProof/>
                <w:sz w:val="16"/>
                <w:szCs w:val="16"/>
              </w:rPr>
              <w:t>,</w:t>
            </w:r>
            <w:r w:rsidRPr="00FA6496">
              <w:rPr>
                <w:rFonts w:ascii="Verdana" w:hAnsi="Verdana"/>
                <w:noProof/>
                <w:sz w:val="16"/>
                <w:szCs w:val="16"/>
              </w:rPr>
              <w:t>373</w:t>
            </w:r>
          </w:p>
        </w:tc>
      </w:tr>
      <w:tr w:rsidR="0026138D" w:rsidRPr="00353FCF" w:rsidTr="00FD088F">
        <w:trPr>
          <w:trHeight w:val="285"/>
        </w:trPr>
        <w:tc>
          <w:tcPr>
            <w:tcW w:w="3276" w:type="dxa"/>
            <w:tcBorders>
              <w:top w:val="nil"/>
              <w:left w:val="nil"/>
              <w:bottom w:val="nil"/>
              <w:right w:val="nil"/>
            </w:tcBorders>
            <w:noWrap/>
            <w:tcMar>
              <w:top w:w="0" w:type="dxa"/>
              <w:left w:w="15" w:type="dxa"/>
              <w:bottom w:w="0" w:type="dxa"/>
              <w:right w:w="15" w:type="dxa"/>
            </w:tcMar>
            <w:vAlign w:val="bottom"/>
          </w:tcPr>
          <w:p w:rsidR="0026138D" w:rsidRPr="00353FCF" w:rsidRDefault="0026138D" w:rsidP="0026138D">
            <w:pPr>
              <w:jc w:val="both"/>
              <w:rPr>
                <w:rFonts w:ascii="Verdana" w:hAnsi="Verdana"/>
                <w:noProof/>
                <w:sz w:val="16"/>
                <w:szCs w:val="16"/>
                <w:lang w:val="en-GB"/>
              </w:rPr>
            </w:pPr>
          </w:p>
        </w:tc>
        <w:tc>
          <w:tcPr>
            <w:tcW w:w="1807" w:type="dxa"/>
            <w:tcBorders>
              <w:top w:val="nil"/>
              <w:left w:val="nil"/>
              <w:bottom w:val="nil"/>
              <w:right w:val="nil"/>
            </w:tcBorders>
            <w:noWrap/>
            <w:tcMar>
              <w:top w:w="0" w:type="dxa"/>
              <w:left w:w="15" w:type="dxa"/>
              <w:bottom w:w="0" w:type="dxa"/>
              <w:right w:w="15" w:type="dxa"/>
            </w:tcMar>
            <w:vAlign w:val="bottom"/>
          </w:tcPr>
          <w:p w:rsidR="0026138D" w:rsidRPr="00666B43" w:rsidRDefault="0026138D" w:rsidP="0026138D">
            <w:pPr>
              <w:jc w:val="right"/>
              <w:rPr>
                <w:rFonts w:ascii="Verdana" w:hAnsi="Verdana"/>
                <w:noProof/>
                <w:sz w:val="16"/>
                <w:szCs w:val="16"/>
              </w:rPr>
            </w:pPr>
          </w:p>
        </w:tc>
        <w:tc>
          <w:tcPr>
            <w:tcW w:w="1453" w:type="dxa"/>
            <w:gridSpan w:val="2"/>
            <w:tcBorders>
              <w:top w:val="nil"/>
              <w:left w:val="nil"/>
              <w:bottom w:val="nil"/>
              <w:right w:val="nil"/>
            </w:tcBorders>
            <w:noWrap/>
            <w:tcMar>
              <w:top w:w="0" w:type="dxa"/>
              <w:left w:w="15" w:type="dxa"/>
              <w:bottom w:w="0" w:type="dxa"/>
              <w:right w:w="15" w:type="dxa"/>
            </w:tcMar>
            <w:vAlign w:val="bottom"/>
          </w:tcPr>
          <w:p w:rsidR="0026138D" w:rsidRPr="00FA6496" w:rsidRDefault="0026138D" w:rsidP="0026138D">
            <w:pPr>
              <w:jc w:val="right"/>
              <w:rPr>
                <w:rFonts w:ascii="Verdana" w:hAnsi="Verdana"/>
                <w:noProof/>
                <w:sz w:val="16"/>
                <w:szCs w:val="16"/>
              </w:rPr>
            </w:pPr>
          </w:p>
        </w:tc>
      </w:tr>
      <w:tr w:rsidR="0026138D" w:rsidRPr="00353FCF" w:rsidTr="00FD088F">
        <w:trPr>
          <w:trHeight w:val="285"/>
        </w:trPr>
        <w:tc>
          <w:tcPr>
            <w:tcW w:w="3276" w:type="dxa"/>
            <w:tcBorders>
              <w:top w:val="nil"/>
              <w:left w:val="nil"/>
              <w:bottom w:val="nil"/>
              <w:right w:val="nil"/>
            </w:tcBorders>
            <w:noWrap/>
            <w:tcMar>
              <w:top w:w="0" w:type="dxa"/>
              <w:left w:w="15" w:type="dxa"/>
              <w:bottom w:w="0" w:type="dxa"/>
              <w:right w:w="15" w:type="dxa"/>
            </w:tcMar>
            <w:vAlign w:val="bottom"/>
          </w:tcPr>
          <w:p w:rsidR="0026138D" w:rsidRPr="00353FCF" w:rsidRDefault="0026138D" w:rsidP="0026138D">
            <w:pPr>
              <w:jc w:val="both"/>
              <w:rPr>
                <w:rFonts w:ascii="Verdana" w:hAnsi="Verdana"/>
                <w:noProof/>
                <w:sz w:val="16"/>
                <w:szCs w:val="16"/>
                <w:lang w:val="en-GB"/>
              </w:rPr>
            </w:pPr>
            <w:r w:rsidRPr="00353FCF">
              <w:rPr>
                <w:rFonts w:ascii="Verdana" w:hAnsi="Verdana"/>
                <w:noProof/>
                <w:sz w:val="16"/>
                <w:szCs w:val="16"/>
                <w:lang w:val="en-GB"/>
              </w:rPr>
              <w:t xml:space="preserve">EBITDA </w:t>
            </w:r>
          </w:p>
        </w:tc>
        <w:tc>
          <w:tcPr>
            <w:tcW w:w="1807" w:type="dxa"/>
            <w:tcBorders>
              <w:top w:val="nil"/>
              <w:left w:val="nil"/>
              <w:bottom w:val="nil"/>
              <w:right w:val="nil"/>
            </w:tcBorders>
            <w:noWrap/>
            <w:tcMar>
              <w:top w:w="0" w:type="dxa"/>
              <w:left w:w="15" w:type="dxa"/>
              <w:bottom w:w="0" w:type="dxa"/>
              <w:right w:w="15" w:type="dxa"/>
            </w:tcMar>
            <w:vAlign w:val="bottom"/>
          </w:tcPr>
          <w:p w:rsidR="0026138D" w:rsidRPr="00666B43" w:rsidRDefault="0026138D" w:rsidP="0026138D">
            <w:pPr>
              <w:jc w:val="right"/>
              <w:rPr>
                <w:rFonts w:ascii="Verdana" w:hAnsi="Verdana"/>
                <w:noProof/>
                <w:sz w:val="16"/>
                <w:szCs w:val="16"/>
              </w:rPr>
            </w:pPr>
            <w:r w:rsidRPr="00666B43">
              <w:rPr>
                <w:rFonts w:ascii="Verdana" w:hAnsi="Verdana"/>
                <w:noProof/>
                <w:sz w:val="16"/>
                <w:szCs w:val="16"/>
              </w:rPr>
              <w:t>(90)</w:t>
            </w:r>
          </w:p>
        </w:tc>
        <w:tc>
          <w:tcPr>
            <w:tcW w:w="1453" w:type="dxa"/>
            <w:gridSpan w:val="2"/>
            <w:tcBorders>
              <w:top w:val="nil"/>
              <w:left w:val="nil"/>
              <w:bottom w:val="nil"/>
              <w:right w:val="nil"/>
            </w:tcBorders>
            <w:noWrap/>
            <w:tcMar>
              <w:top w:w="0" w:type="dxa"/>
              <w:left w:w="15" w:type="dxa"/>
              <w:bottom w:w="0" w:type="dxa"/>
              <w:right w:w="15" w:type="dxa"/>
            </w:tcMar>
            <w:vAlign w:val="bottom"/>
          </w:tcPr>
          <w:p w:rsidR="0026138D" w:rsidRPr="00FA6496" w:rsidRDefault="0026138D" w:rsidP="0026138D">
            <w:pPr>
              <w:jc w:val="right"/>
              <w:rPr>
                <w:rFonts w:ascii="Verdana" w:hAnsi="Verdana"/>
                <w:noProof/>
                <w:sz w:val="16"/>
                <w:szCs w:val="16"/>
              </w:rPr>
            </w:pPr>
            <w:r w:rsidRPr="00FA6496">
              <w:rPr>
                <w:rFonts w:ascii="Verdana" w:hAnsi="Verdana"/>
                <w:noProof/>
                <w:sz w:val="16"/>
                <w:szCs w:val="16"/>
              </w:rPr>
              <w:t>4</w:t>
            </w:r>
            <w:r>
              <w:rPr>
                <w:rFonts w:ascii="Verdana" w:hAnsi="Verdana"/>
                <w:noProof/>
                <w:sz w:val="16"/>
                <w:szCs w:val="16"/>
              </w:rPr>
              <w:t>,</w:t>
            </w:r>
            <w:r w:rsidRPr="00FA6496">
              <w:rPr>
                <w:rFonts w:ascii="Verdana" w:hAnsi="Verdana"/>
                <w:noProof/>
                <w:sz w:val="16"/>
                <w:szCs w:val="16"/>
              </w:rPr>
              <w:t>841</w:t>
            </w:r>
          </w:p>
        </w:tc>
      </w:tr>
      <w:tr w:rsidR="00343072" w:rsidRPr="00353FCF" w:rsidTr="00FD088F">
        <w:trPr>
          <w:trHeight w:val="285"/>
        </w:trPr>
        <w:tc>
          <w:tcPr>
            <w:tcW w:w="3276" w:type="dxa"/>
            <w:tcBorders>
              <w:top w:val="nil"/>
              <w:left w:val="nil"/>
              <w:bottom w:val="nil"/>
              <w:right w:val="nil"/>
            </w:tcBorders>
            <w:noWrap/>
            <w:tcMar>
              <w:top w:w="15" w:type="dxa"/>
              <w:left w:w="15" w:type="dxa"/>
              <w:bottom w:w="0" w:type="dxa"/>
              <w:right w:w="15" w:type="dxa"/>
            </w:tcMar>
            <w:vAlign w:val="bottom"/>
          </w:tcPr>
          <w:p w:rsidR="00343072" w:rsidRPr="00353FCF" w:rsidRDefault="00343072" w:rsidP="00343072">
            <w:pPr>
              <w:jc w:val="both"/>
              <w:rPr>
                <w:rFonts w:ascii="Verdana" w:hAnsi="Verdana"/>
                <w:noProof/>
                <w:sz w:val="16"/>
                <w:szCs w:val="16"/>
                <w:lang w:val="en-GB"/>
              </w:rPr>
            </w:pPr>
          </w:p>
        </w:tc>
        <w:tc>
          <w:tcPr>
            <w:tcW w:w="1807" w:type="dxa"/>
            <w:tcBorders>
              <w:top w:val="nil"/>
              <w:left w:val="nil"/>
              <w:bottom w:val="nil"/>
              <w:right w:val="nil"/>
            </w:tcBorders>
            <w:noWrap/>
            <w:tcMar>
              <w:top w:w="15" w:type="dxa"/>
              <w:left w:w="15" w:type="dxa"/>
              <w:bottom w:w="0" w:type="dxa"/>
              <w:right w:w="15" w:type="dxa"/>
            </w:tcMar>
            <w:vAlign w:val="bottom"/>
          </w:tcPr>
          <w:p w:rsidR="00343072" w:rsidRPr="00353FCF" w:rsidRDefault="00343072" w:rsidP="00343072">
            <w:pPr>
              <w:jc w:val="right"/>
              <w:rPr>
                <w:rFonts w:ascii="Verdana" w:hAnsi="Verdana"/>
                <w:noProof/>
                <w:sz w:val="16"/>
                <w:szCs w:val="16"/>
                <w:highlight w:val="yellow"/>
                <w:lang w:val="en-GB"/>
              </w:rPr>
            </w:pPr>
          </w:p>
        </w:tc>
        <w:tc>
          <w:tcPr>
            <w:tcW w:w="1453" w:type="dxa"/>
            <w:gridSpan w:val="2"/>
            <w:tcBorders>
              <w:top w:val="nil"/>
              <w:left w:val="nil"/>
              <w:bottom w:val="nil"/>
              <w:right w:val="nil"/>
            </w:tcBorders>
            <w:noWrap/>
            <w:tcMar>
              <w:top w:w="15" w:type="dxa"/>
              <w:left w:w="15" w:type="dxa"/>
              <w:bottom w:w="0" w:type="dxa"/>
              <w:right w:w="15" w:type="dxa"/>
            </w:tcMar>
            <w:vAlign w:val="bottom"/>
          </w:tcPr>
          <w:p w:rsidR="00343072" w:rsidRPr="00353FCF" w:rsidRDefault="00343072" w:rsidP="00343072">
            <w:pPr>
              <w:jc w:val="right"/>
              <w:rPr>
                <w:rFonts w:ascii="Verdana" w:hAnsi="Verdana"/>
                <w:noProof/>
                <w:sz w:val="16"/>
                <w:szCs w:val="16"/>
                <w:highlight w:val="yellow"/>
                <w:lang w:val="en-GB"/>
              </w:rPr>
            </w:pPr>
          </w:p>
        </w:tc>
      </w:tr>
      <w:tr w:rsidR="00343072" w:rsidRPr="00353FCF" w:rsidTr="00FD088F">
        <w:trPr>
          <w:trHeight w:val="255"/>
        </w:trPr>
        <w:tc>
          <w:tcPr>
            <w:tcW w:w="3276" w:type="dxa"/>
            <w:tcBorders>
              <w:top w:val="nil"/>
              <w:left w:val="nil"/>
              <w:bottom w:val="nil"/>
              <w:right w:val="nil"/>
            </w:tcBorders>
            <w:shd w:val="clear" w:color="auto" w:fill="C0C0C0"/>
            <w:noWrap/>
            <w:tcMar>
              <w:top w:w="0" w:type="dxa"/>
              <w:left w:w="15" w:type="dxa"/>
              <w:bottom w:w="0" w:type="dxa"/>
              <w:right w:w="15" w:type="dxa"/>
            </w:tcMar>
            <w:vAlign w:val="bottom"/>
          </w:tcPr>
          <w:p w:rsidR="00343072" w:rsidRPr="00353FCF" w:rsidRDefault="00343072" w:rsidP="00343072">
            <w:pPr>
              <w:jc w:val="both"/>
              <w:rPr>
                <w:rFonts w:ascii="Verdana" w:hAnsi="Verdana"/>
                <w:b/>
                <w:noProof/>
                <w:sz w:val="16"/>
                <w:szCs w:val="16"/>
                <w:lang w:val="en-GB"/>
              </w:rPr>
            </w:pPr>
            <w:r w:rsidRPr="00353FCF">
              <w:rPr>
                <w:rFonts w:ascii="Verdana" w:hAnsi="Verdana"/>
                <w:b/>
                <w:noProof/>
                <w:sz w:val="16"/>
                <w:szCs w:val="16"/>
                <w:lang w:val="en-GB"/>
              </w:rPr>
              <w:t>Percent of sales</w:t>
            </w:r>
          </w:p>
        </w:tc>
        <w:tc>
          <w:tcPr>
            <w:tcW w:w="1807" w:type="dxa"/>
            <w:tcBorders>
              <w:top w:val="nil"/>
              <w:left w:val="nil"/>
              <w:bottom w:val="nil"/>
              <w:right w:val="nil"/>
            </w:tcBorders>
            <w:shd w:val="clear" w:color="auto" w:fill="C0C0C0"/>
            <w:noWrap/>
            <w:tcMar>
              <w:top w:w="0" w:type="dxa"/>
              <w:left w:w="15" w:type="dxa"/>
              <w:bottom w:w="0" w:type="dxa"/>
              <w:right w:w="15" w:type="dxa"/>
            </w:tcMar>
            <w:vAlign w:val="bottom"/>
          </w:tcPr>
          <w:p w:rsidR="00343072" w:rsidRPr="00353FCF" w:rsidRDefault="00343072" w:rsidP="00343072">
            <w:pPr>
              <w:jc w:val="right"/>
              <w:rPr>
                <w:rFonts w:ascii="Verdana" w:hAnsi="Verdana"/>
                <w:noProof/>
                <w:sz w:val="16"/>
                <w:szCs w:val="16"/>
                <w:highlight w:val="yellow"/>
                <w:lang w:val="en-GB"/>
              </w:rPr>
            </w:pPr>
          </w:p>
        </w:tc>
        <w:tc>
          <w:tcPr>
            <w:tcW w:w="1453" w:type="dxa"/>
            <w:gridSpan w:val="2"/>
            <w:tcBorders>
              <w:top w:val="nil"/>
              <w:left w:val="nil"/>
              <w:bottom w:val="nil"/>
              <w:right w:val="nil"/>
            </w:tcBorders>
            <w:shd w:val="clear" w:color="auto" w:fill="C0C0C0"/>
            <w:noWrap/>
            <w:tcMar>
              <w:top w:w="0" w:type="dxa"/>
              <w:left w:w="15" w:type="dxa"/>
              <w:bottom w:w="0" w:type="dxa"/>
              <w:right w:w="15" w:type="dxa"/>
            </w:tcMar>
            <w:vAlign w:val="bottom"/>
          </w:tcPr>
          <w:p w:rsidR="00343072" w:rsidRPr="00353FCF" w:rsidRDefault="00343072" w:rsidP="00343072">
            <w:pPr>
              <w:jc w:val="right"/>
              <w:rPr>
                <w:rFonts w:ascii="Verdana" w:hAnsi="Verdana"/>
                <w:noProof/>
                <w:sz w:val="16"/>
                <w:szCs w:val="16"/>
                <w:highlight w:val="yellow"/>
                <w:lang w:val="en-GB"/>
              </w:rPr>
            </w:pPr>
          </w:p>
        </w:tc>
      </w:tr>
      <w:tr w:rsidR="0026138D" w:rsidRPr="00353FCF" w:rsidTr="00FD088F">
        <w:trPr>
          <w:trHeight w:val="285"/>
        </w:trPr>
        <w:tc>
          <w:tcPr>
            <w:tcW w:w="3276" w:type="dxa"/>
            <w:tcBorders>
              <w:top w:val="nil"/>
              <w:left w:val="nil"/>
              <w:bottom w:val="nil"/>
              <w:right w:val="nil"/>
            </w:tcBorders>
            <w:noWrap/>
            <w:tcMar>
              <w:top w:w="0" w:type="dxa"/>
              <w:left w:w="15" w:type="dxa"/>
              <w:bottom w:w="0" w:type="dxa"/>
              <w:right w:w="15" w:type="dxa"/>
            </w:tcMar>
            <w:vAlign w:val="bottom"/>
          </w:tcPr>
          <w:p w:rsidR="0026138D" w:rsidRPr="00353FCF" w:rsidRDefault="0026138D" w:rsidP="0026138D">
            <w:pPr>
              <w:jc w:val="both"/>
              <w:rPr>
                <w:rFonts w:ascii="Verdana" w:hAnsi="Verdana"/>
                <w:noProof/>
                <w:sz w:val="16"/>
                <w:szCs w:val="16"/>
                <w:lang w:val="en-GB"/>
              </w:rPr>
            </w:pPr>
            <w:r w:rsidRPr="00353FCF">
              <w:rPr>
                <w:rFonts w:ascii="Verdana" w:hAnsi="Verdana"/>
                <w:noProof/>
                <w:sz w:val="16"/>
                <w:szCs w:val="16"/>
                <w:lang w:val="en-GB"/>
              </w:rPr>
              <w:t>Contribution margin</w:t>
            </w:r>
          </w:p>
        </w:tc>
        <w:tc>
          <w:tcPr>
            <w:tcW w:w="1807" w:type="dxa"/>
            <w:tcBorders>
              <w:top w:val="nil"/>
              <w:left w:val="nil"/>
              <w:bottom w:val="nil"/>
              <w:right w:val="nil"/>
            </w:tcBorders>
            <w:noWrap/>
            <w:tcMar>
              <w:top w:w="0" w:type="dxa"/>
              <w:left w:w="15" w:type="dxa"/>
              <w:bottom w:w="0" w:type="dxa"/>
              <w:right w:w="15" w:type="dxa"/>
            </w:tcMar>
            <w:vAlign w:val="bottom"/>
          </w:tcPr>
          <w:p w:rsidR="0026138D" w:rsidRPr="00666B43" w:rsidRDefault="0026138D" w:rsidP="0026138D">
            <w:pPr>
              <w:jc w:val="right"/>
              <w:rPr>
                <w:rFonts w:ascii="Verdana" w:hAnsi="Verdana"/>
                <w:noProof/>
                <w:sz w:val="16"/>
                <w:szCs w:val="16"/>
              </w:rPr>
            </w:pPr>
            <w:r w:rsidRPr="00666B43">
              <w:rPr>
                <w:rFonts w:ascii="Verdana" w:hAnsi="Verdana"/>
                <w:noProof/>
                <w:sz w:val="16"/>
                <w:szCs w:val="16"/>
              </w:rPr>
              <w:t>28</w:t>
            </w:r>
            <w:r>
              <w:rPr>
                <w:rFonts w:ascii="Verdana" w:hAnsi="Verdana"/>
                <w:noProof/>
                <w:sz w:val="16"/>
                <w:szCs w:val="16"/>
              </w:rPr>
              <w:t>.</w:t>
            </w:r>
            <w:r w:rsidRPr="00666B43">
              <w:rPr>
                <w:rFonts w:ascii="Verdana" w:hAnsi="Verdana"/>
                <w:noProof/>
                <w:sz w:val="16"/>
                <w:szCs w:val="16"/>
              </w:rPr>
              <w:t>5%</w:t>
            </w:r>
          </w:p>
        </w:tc>
        <w:tc>
          <w:tcPr>
            <w:tcW w:w="1453" w:type="dxa"/>
            <w:gridSpan w:val="2"/>
            <w:tcBorders>
              <w:top w:val="nil"/>
              <w:left w:val="nil"/>
              <w:bottom w:val="nil"/>
              <w:right w:val="nil"/>
            </w:tcBorders>
            <w:noWrap/>
            <w:tcMar>
              <w:top w:w="0" w:type="dxa"/>
              <w:left w:w="15" w:type="dxa"/>
              <w:bottom w:w="0" w:type="dxa"/>
              <w:right w:w="15" w:type="dxa"/>
            </w:tcMar>
            <w:vAlign w:val="bottom"/>
          </w:tcPr>
          <w:p w:rsidR="0026138D" w:rsidRPr="00A46727" w:rsidRDefault="0026138D" w:rsidP="0026138D">
            <w:pPr>
              <w:jc w:val="right"/>
              <w:rPr>
                <w:rFonts w:ascii="Verdana" w:hAnsi="Verdana"/>
                <w:noProof/>
                <w:sz w:val="16"/>
                <w:szCs w:val="16"/>
              </w:rPr>
            </w:pPr>
            <w:r w:rsidRPr="00A46727">
              <w:rPr>
                <w:rFonts w:ascii="Verdana" w:hAnsi="Verdana"/>
                <w:noProof/>
                <w:sz w:val="16"/>
                <w:szCs w:val="16"/>
              </w:rPr>
              <w:t>31</w:t>
            </w:r>
            <w:r>
              <w:rPr>
                <w:rFonts w:ascii="Verdana" w:hAnsi="Verdana"/>
                <w:noProof/>
                <w:sz w:val="16"/>
                <w:szCs w:val="16"/>
              </w:rPr>
              <w:t>.</w:t>
            </w:r>
            <w:r w:rsidRPr="00A46727">
              <w:rPr>
                <w:rFonts w:ascii="Verdana" w:hAnsi="Verdana"/>
                <w:noProof/>
                <w:sz w:val="16"/>
                <w:szCs w:val="16"/>
              </w:rPr>
              <w:t>9%</w:t>
            </w:r>
          </w:p>
        </w:tc>
      </w:tr>
      <w:tr w:rsidR="0026138D" w:rsidRPr="00353FCF" w:rsidTr="00FD088F">
        <w:trPr>
          <w:trHeight w:val="285"/>
        </w:trPr>
        <w:tc>
          <w:tcPr>
            <w:tcW w:w="3276" w:type="dxa"/>
            <w:tcBorders>
              <w:top w:val="nil"/>
              <w:left w:val="nil"/>
              <w:bottom w:val="nil"/>
              <w:right w:val="nil"/>
            </w:tcBorders>
            <w:noWrap/>
            <w:tcMar>
              <w:top w:w="0" w:type="dxa"/>
              <w:left w:w="15" w:type="dxa"/>
              <w:bottom w:w="0" w:type="dxa"/>
              <w:right w:w="15" w:type="dxa"/>
            </w:tcMar>
            <w:vAlign w:val="bottom"/>
          </w:tcPr>
          <w:p w:rsidR="0026138D" w:rsidRPr="00353FCF" w:rsidRDefault="0026138D" w:rsidP="0026138D">
            <w:pPr>
              <w:jc w:val="both"/>
              <w:rPr>
                <w:rFonts w:ascii="Verdana" w:hAnsi="Verdana"/>
                <w:noProof/>
                <w:sz w:val="16"/>
                <w:szCs w:val="16"/>
                <w:lang w:val="en-GB"/>
              </w:rPr>
            </w:pPr>
            <w:r w:rsidRPr="00353FCF">
              <w:rPr>
                <w:rFonts w:ascii="Verdana" w:hAnsi="Verdana"/>
                <w:noProof/>
                <w:sz w:val="16"/>
                <w:szCs w:val="16"/>
                <w:lang w:val="en-GB"/>
              </w:rPr>
              <w:t>Sales &amp; marketing expenses</w:t>
            </w:r>
          </w:p>
        </w:tc>
        <w:tc>
          <w:tcPr>
            <w:tcW w:w="1807" w:type="dxa"/>
            <w:tcBorders>
              <w:top w:val="nil"/>
              <w:left w:val="nil"/>
              <w:bottom w:val="nil"/>
              <w:right w:val="nil"/>
            </w:tcBorders>
            <w:noWrap/>
            <w:tcMar>
              <w:top w:w="0" w:type="dxa"/>
              <w:left w:w="15" w:type="dxa"/>
              <w:bottom w:w="0" w:type="dxa"/>
              <w:right w:w="15" w:type="dxa"/>
            </w:tcMar>
            <w:vAlign w:val="bottom"/>
          </w:tcPr>
          <w:p w:rsidR="0026138D" w:rsidRPr="00666B43" w:rsidRDefault="0026138D" w:rsidP="0026138D">
            <w:pPr>
              <w:jc w:val="right"/>
              <w:rPr>
                <w:rFonts w:ascii="Verdana" w:hAnsi="Verdana"/>
                <w:noProof/>
                <w:sz w:val="16"/>
                <w:szCs w:val="16"/>
              </w:rPr>
            </w:pPr>
            <w:r w:rsidRPr="00666B43">
              <w:rPr>
                <w:rFonts w:ascii="Verdana" w:hAnsi="Verdana"/>
                <w:noProof/>
                <w:sz w:val="16"/>
                <w:szCs w:val="16"/>
              </w:rPr>
              <w:t>13</w:t>
            </w:r>
            <w:r>
              <w:rPr>
                <w:rFonts w:ascii="Verdana" w:hAnsi="Verdana"/>
                <w:noProof/>
                <w:sz w:val="16"/>
                <w:szCs w:val="16"/>
              </w:rPr>
              <w:t>.</w:t>
            </w:r>
            <w:r w:rsidRPr="00666B43">
              <w:rPr>
                <w:rFonts w:ascii="Verdana" w:hAnsi="Verdana"/>
                <w:noProof/>
                <w:sz w:val="16"/>
                <w:szCs w:val="16"/>
              </w:rPr>
              <w:t>7%</w:t>
            </w:r>
          </w:p>
        </w:tc>
        <w:tc>
          <w:tcPr>
            <w:tcW w:w="1453" w:type="dxa"/>
            <w:gridSpan w:val="2"/>
            <w:tcBorders>
              <w:top w:val="nil"/>
              <w:left w:val="nil"/>
              <w:bottom w:val="nil"/>
              <w:right w:val="nil"/>
            </w:tcBorders>
            <w:noWrap/>
            <w:tcMar>
              <w:top w:w="0" w:type="dxa"/>
              <w:left w:w="15" w:type="dxa"/>
              <w:bottom w:w="0" w:type="dxa"/>
              <w:right w:w="15" w:type="dxa"/>
            </w:tcMar>
            <w:vAlign w:val="bottom"/>
          </w:tcPr>
          <w:p w:rsidR="0026138D" w:rsidRPr="00A46727" w:rsidRDefault="0026138D" w:rsidP="0026138D">
            <w:pPr>
              <w:jc w:val="right"/>
              <w:rPr>
                <w:rFonts w:ascii="Verdana" w:hAnsi="Verdana"/>
                <w:noProof/>
                <w:sz w:val="16"/>
                <w:szCs w:val="16"/>
              </w:rPr>
            </w:pPr>
            <w:r w:rsidRPr="00A46727">
              <w:rPr>
                <w:rFonts w:ascii="Verdana" w:hAnsi="Verdana"/>
                <w:noProof/>
                <w:sz w:val="16"/>
                <w:szCs w:val="16"/>
              </w:rPr>
              <w:t>15</w:t>
            </w:r>
            <w:r>
              <w:rPr>
                <w:rFonts w:ascii="Verdana" w:hAnsi="Verdana"/>
                <w:noProof/>
                <w:sz w:val="16"/>
                <w:szCs w:val="16"/>
              </w:rPr>
              <w:t>.</w:t>
            </w:r>
            <w:r w:rsidRPr="00A46727">
              <w:rPr>
                <w:rFonts w:ascii="Verdana" w:hAnsi="Verdana"/>
                <w:noProof/>
                <w:sz w:val="16"/>
                <w:szCs w:val="16"/>
              </w:rPr>
              <w:t>4%</w:t>
            </w:r>
          </w:p>
        </w:tc>
      </w:tr>
      <w:tr w:rsidR="0026138D" w:rsidRPr="00353FCF" w:rsidTr="00FD088F">
        <w:trPr>
          <w:trHeight w:val="285"/>
        </w:trPr>
        <w:tc>
          <w:tcPr>
            <w:tcW w:w="3276" w:type="dxa"/>
            <w:tcBorders>
              <w:top w:val="nil"/>
              <w:left w:val="nil"/>
              <w:bottom w:val="nil"/>
              <w:right w:val="nil"/>
            </w:tcBorders>
            <w:noWrap/>
            <w:tcMar>
              <w:top w:w="0" w:type="dxa"/>
              <w:left w:w="15" w:type="dxa"/>
              <w:bottom w:w="0" w:type="dxa"/>
              <w:right w:w="15" w:type="dxa"/>
            </w:tcMar>
            <w:vAlign w:val="bottom"/>
          </w:tcPr>
          <w:p w:rsidR="0026138D" w:rsidRPr="00353FCF" w:rsidRDefault="0026138D" w:rsidP="0026138D">
            <w:pPr>
              <w:jc w:val="both"/>
              <w:rPr>
                <w:rFonts w:ascii="Verdana" w:hAnsi="Verdana"/>
                <w:noProof/>
                <w:sz w:val="16"/>
                <w:szCs w:val="16"/>
                <w:lang w:val="en-GB"/>
              </w:rPr>
            </w:pPr>
            <w:r w:rsidRPr="00353FCF">
              <w:rPr>
                <w:rFonts w:ascii="Verdana" w:hAnsi="Verdana"/>
                <w:noProof/>
                <w:sz w:val="16"/>
                <w:szCs w:val="16"/>
                <w:lang w:val="en-GB"/>
              </w:rPr>
              <w:t>Development expenses charged</w:t>
            </w:r>
          </w:p>
        </w:tc>
        <w:tc>
          <w:tcPr>
            <w:tcW w:w="1807" w:type="dxa"/>
            <w:tcBorders>
              <w:top w:val="nil"/>
              <w:left w:val="nil"/>
              <w:bottom w:val="nil"/>
              <w:right w:val="nil"/>
            </w:tcBorders>
            <w:noWrap/>
            <w:tcMar>
              <w:top w:w="0" w:type="dxa"/>
              <w:left w:w="15" w:type="dxa"/>
              <w:bottom w:w="0" w:type="dxa"/>
              <w:right w:w="15" w:type="dxa"/>
            </w:tcMar>
            <w:vAlign w:val="bottom"/>
          </w:tcPr>
          <w:p w:rsidR="0026138D" w:rsidRPr="00666B43" w:rsidRDefault="0026138D" w:rsidP="0026138D">
            <w:pPr>
              <w:jc w:val="right"/>
              <w:rPr>
                <w:rFonts w:ascii="Verdana" w:hAnsi="Verdana"/>
                <w:noProof/>
                <w:sz w:val="16"/>
                <w:szCs w:val="16"/>
              </w:rPr>
            </w:pPr>
            <w:r w:rsidRPr="00666B43">
              <w:rPr>
                <w:rFonts w:ascii="Verdana" w:hAnsi="Verdana"/>
                <w:noProof/>
                <w:sz w:val="16"/>
                <w:szCs w:val="16"/>
              </w:rPr>
              <w:t>5</w:t>
            </w:r>
            <w:r>
              <w:rPr>
                <w:rFonts w:ascii="Verdana" w:hAnsi="Verdana"/>
                <w:noProof/>
                <w:sz w:val="16"/>
                <w:szCs w:val="16"/>
              </w:rPr>
              <w:t>.</w:t>
            </w:r>
            <w:r w:rsidRPr="00666B43">
              <w:rPr>
                <w:rFonts w:ascii="Verdana" w:hAnsi="Verdana"/>
                <w:noProof/>
                <w:sz w:val="16"/>
                <w:szCs w:val="16"/>
              </w:rPr>
              <w:t>1%</w:t>
            </w:r>
          </w:p>
        </w:tc>
        <w:tc>
          <w:tcPr>
            <w:tcW w:w="1453" w:type="dxa"/>
            <w:gridSpan w:val="2"/>
            <w:tcBorders>
              <w:top w:val="nil"/>
              <w:left w:val="nil"/>
              <w:bottom w:val="nil"/>
              <w:right w:val="nil"/>
            </w:tcBorders>
            <w:noWrap/>
            <w:tcMar>
              <w:top w:w="0" w:type="dxa"/>
              <w:left w:w="15" w:type="dxa"/>
              <w:bottom w:w="0" w:type="dxa"/>
              <w:right w:w="15" w:type="dxa"/>
            </w:tcMar>
            <w:vAlign w:val="bottom"/>
          </w:tcPr>
          <w:p w:rsidR="0026138D" w:rsidRPr="00A46727" w:rsidRDefault="0026138D" w:rsidP="0026138D">
            <w:pPr>
              <w:jc w:val="right"/>
              <w:rPr>
                <w:rFonts w:ascii="Verdana" w:hAnsi="Verdana"/>
                <w:noProof/>
                <w:sz w:val="16"/>
                <w:szCs w:val="16"/>
              </w:rPr>
            </w:pPr>
            <w:r w:rsidRPr="00A46727">
              <w:rPr>
                <w:rFonts w:ascii="Verdana" w:hAnsi="Verdana"/>
                <w:noProof/>
                <w:sz w:val="16"/>
                <w:szCs w:val="16"/>
              </w:rPr>
              <w:t>5</w:t>
            </w:r>
            <w:r>
              <w:rPr>
                <w:rFonts w:ascii="Verdana" w:hAnsi="Verdana"/>
                <w:noProof/>
                <w:sz w:val="16"/>
                <w:szCs w:val="16"/>
              </w:rPr>
              <w:t>.</w:t>
            </w:r>
            <w:r w:rsidRPr="00A46727">
              <w:rPr>
                <w:rFonts w:ascii="Verdana" w:hAnsi="Verdana"/>
                <w:noProof/>
                <w:sz w:val="16"/>
                <w:szCs w:val="16"/>
              </w:rPr>
              <w:t>4%</w:t>
            </w:r>
          </w:p>
        </w:tc>
      </w:tr>
      <w:tr w:rsidR="0026138D" w:rsidRPr="00353FCF" w:rsidTr="00FD088F">
        <w:trPr>
          <w:trHeight w:val="285"/>
        </w:trPr>
        <w:tc>
          <w:tcPr>
            <w:tcW w:w="3276" w:type="dxa"/>
            <w:tcBorders>
              <w:top w:val="nil"/>
              <w:left w:val="nil"/>
              <w:bottom w:val="nil"/>
              <w:right w:val="nil"/>
            </w:tcBorders>
            <w:noWrap/>
            <w:tcMar>
              <w:top w:w="0" w:type="dxa"/>
              <w:left w:w="15" w:type="dxa"/>
              <w:bottom w:w="0" w:type="dxa"/>
              <w:right w:w="15" w:type="dxa"/>
            </w:tcMar>
            <w:vAlign w:val="bottom"/>
          </w:tcPr>
          <w:p w:rsidR="0026138D" w:rsidRPr="00353FCF" w:rsidRDefault="0026138D" w:rsidP="0026138D">
            <w:pPr>
              <w:jc w:val="both"/>
              <w:rPr>
                <w:rFonts w:ascii="Verdana" w:hAnsi="Verdana"/>
                <w:noProof/>
                <w:sz w:val="16"/>
                <w:szCs w:val="16"/>
                <w:lang w:val="en-GB"/>
              </w:rPr>
            </w:pPr>
            <w:r w:rsidRPr="00353FCF">
              <w:rPr>
                <w:rFonts w:ascii="Verdana" w:hAnsi="Verdana"/>
                <w:noProof/>
                <w:sz w:val="16"/>
                <w:szCs w:val="16"/>
                <w:lang w:val="en-GB"/>
              </w:rPr>
              <w:t>Administrative expenses</w:t>
            </w:r>
          </w:p>
        </w:tc>
        <w:tc>
          <w:tcPr>
            <w:tcW w:w="1807" w:type="dxa"/>
            <w:tcBorders>
              <w:top w:val="nil"/>
              <w:left w:val="nil"/>
              <w:bottom w:val="nil"/>
              <w:right w:val="nil"/>
            </w:tcBorders>
            <w:noWrap/>
            <w:tcMar>
              <w:top w:w="0" w:type="dxa"/>
              <w:left w:w="15" w:type="dxa"/>
              <w:bottom w:w="0" w:type="dxa"/>
              <w:right w:w="15" w:type="dxa"/>
            </w:tcMar>
            <w:vAlign w:val="bottom"/>
          </w:tcPr>
          <w:p w:rsidR="0026138D" w:rsidRPr="00666B43" w:rsidRDefault="0026138D" w:rsidP="0026138D">
            <w:pPr>
              <w:jc w:val="right"/>
              <w:rPr>
                <w:rFonts w:ascii="Verdana" w:hAnsi="Verdana"/>
                <w:noProof/>
                <w:sz w:val="16"/>
                <w:szCs w:val="16"/>
              </w:rPr>
            </w:pPr>
            <w:r w:rsidRPr="00666B43">
              <w:rPr>
                <w:rFonts w:ascii="Verdana" w:hAnsi="Verdana"/>
                <w:noProof/>
                <w:sz w:val="16"/>
                <w:szCs w:val="16"/>
              </w:rPr>
              <w:t>14</w:t>
            </w:r>
            <w:r>
              <w:rPr>
                <w:rFonts w:ascii="Verdana" w:hAnsi="Verdana"/>
                <w:noProof/>
                <w:sz w:val="16"/>
                <w:szCs w:val="16"/>
              </w:rPr>
              <w:t>.</w:t>
            </w:r>
            <w:r w:rsidRPr="00666B43">
              <w:rPr>
                <w:rFonts w:ascii="Verdana" w:hAnsi="Verdana"/>
                <w:noProof/>
                <w:sz w:val="16"/>
                <w:szCs w:val="16"/>
              </w:rPr>
              <w:t>5%</w:t>
            </w:r>
          </w:p>
        </w:tc>
        <w:tc>
          <w:tcPr>
            <w:tcW w:w="1453" w:type="dxa"/>
            <w:gridSpan w:val="2"/>
            <w:tcBorders>
              <w:top w:val="nil"/>
              <w:left w:val="nil"/>
              <w:bottom w:val="nil"/>
              <w:right w:val="nil"/>
            </w:tcBorders>
            <w:noWrap/>
            <w:tcMar>
              <w:top w:w="0" w:type="dxa"/>
              <w:left w:w="15" w:type="dxa"/>
              <w:bottom w:w="0" w:type="dxa"/>
              <w:right w:w="15" w:type="dxa"/>
            </w:tcMar>
            <w:vAlign w:val="bottom"/>
          </w:tcPr>
          <w:p w:rsidR="0026138D" w:rsidRPr="00A46727" w:rsidRDefault="0026138D" w:rsidP="0026138D">
            <w:pPr>
              <w:jc w:val="right"/>
              <w:rPr>
                <w:rFonts w:ascii="Verdana" w:hAnsi="Verdana"/>
                <w:noProof/>
                <w:sz w:val="16"/>
                <w:szCs w:val="16"/>
              </w:rPr>
            </w:pPr>
            <w:r w:rsidRPr="00A46727">
              <w:rPr>
                <w:rFonts w:ascii="Verdana" w:hAnsi="Verdana"/>
                <w:noProof/>
                <w:sz w:val="16"/>
                <w:szCs w:val="16"/>
              </w:rPr>
              <w:t>9</w:t>
            </w:r>
            <w:r>
              <w:rPr>
                <w:rFonts w:ascii="Verdana" w:hAnsi="Verdana"/>
                <w:noProof/>
                <w:sz w:val="16"/>
                <w:szCs w:val="16"/>
              </w:rPr>
              <w:t>.</w:t>
            </w:r>
            <w:r w:rsidRPr="00A46727">
              <w:rPr>
                <w:rFonts w:ascii="Verdana" w:hAnsi="Verdana"/>
                <w:noProof/>
                <w:sz w:val="16"/>
                <w:szCs w:val="16"/>
              </w:rPr>
              <w:t>0%</w:t>
            </w:r>
          </w:p>
        </w:tc>
      </w:tr>
      <w:tr w:rsidR="0026138D" w:rsidRPr="00353FCF" w:rsidTr="00FD088F">
        <w:trPr>
          <w:trHeight w:val="285"/>
        </w:trPr>
        <w:tc>
          <w:tcPr>
            <w:tcW w:w="3276" w:type="dxa"/>
            <w:tcBorders>
              <w:top w:val="nil"/>
              <w:left w:val="nil"/>
              <w:bottom w:val="nil"/>
              <w:right w:val="nil"/>
            </w:tcBorders>
            <w:noWrap/>
            <w:tcMar>
              <w:top w:w="0" w:type="dxa"/>
              <w:left w:w="15" w:type="dxa"/>
              <w:bottom w:w="0" w:type="dxa"/>
              <w:right w:w="15" w:type="dxa"/>
            </w:tcMar>
            <w:vAlign w:val="bottom"/>
          </w:tcPr>
          <w:p w:rsidR="0026138D" w:rsidRPr="00353FCF" w:rsidRDefault="0026138D" w:rsidP="0026138D">
            <w:pPr>
              <w:jc w:val="both"/>
              <w:rPr>
                <w:rFonts w:ascii="Verdana" w:hAnsi="Verdana"/>
                <w:noProof/>
                <w:sz w:val="16"/>
                <w:szCs w:val="16"/>
                <w:lang w:val="en-GB"/>
              </w:rPr>
            </w:pPr>
            <w:r w:rsidRPr="00353FCF">
              <w:rPr>
                <w:rFonts w:ascii="Verdana" w:hAnsi="Verdana"/>
                <w:noProof/>
                <w:sz w:val="16"/>
                <w:szCs w:val="16"/>
                <w:lang w:val="en-GB"/>
              </w:rPr>
              <w:t xml:space="preserve">EBITDA </w:t>
            </w:r>
          </w:p>
        </w:tc>
        <w:tc>
          <w:tcPr>
            <w:tcW w:w="1807" w:type="dxa"/>
            <w:tcBorders>
              <w:top w:val="nil"/>
              <w:left w:val="nil"/>
              <w:bottom w:val="nil"/>
              <w:right w:val="nil"/>
            </w:tcBorders>
            <w:noWrap/>
            <w:tcMar>
              <w:top w:w="0" w:type="dxa"/>
              <w:left w:w="15" w:type="dxa"/>
              <w:bottom w:w="0" w:type="dxa"/>
              <w:right w:w="15" w:type="dxa"/>
            </w:tcMar>
            <w:vAlign w:val="bottom"/>
          </w:tcPr>
          <w:p w:rsidR="0026138D" w:rsidRPr="00666B43" w:rsidRDefault="0026138D" w:rsidP="0026138D">
            <w:pPr>
              <w:jc w:val="right"/>
              <w:rPr>
                <w:rFonts w:ascii="Verdana" w:hAnsi="Verdana"/>
                <w:noProof/>
                <w:sz w:val="16"/>
                <w:szCs w:val="16"/>
              </w:rPr>
            </w:pPr>
            <w:r w:rsidRPr="00666B43">
              <w:rPr>
                <w:rFonts w:ascii="Verdana" w:hAnsi="Verdana"/>
                <w:noProof/>
                <w:sz w:val="16"/>
                <w:szCs w:val="16"/>
              </w:rPr>
              <w:t>-</w:t>
            </w:r>
          </w:p>
        </w:tc>
        <w:tc>
          <w:tcPr>
            <w:tcW w:w="1453" w:type="dxa"/>
            <w:gridSpan w:val="2"/>
            <w:tcBorders>
              <w:top w:val="nil"/>
              <w:left w:val="nil"/>
              <w:bottom w:val="nil"/>
              <w:right w:val="nil"/>
            </w:tcBorders>
            <w:noWrap/>
            <w:tcMar>
              <w:top w:w="0" w:type="dxa"/>
              <w:left w:w="15" w:type="dxa"/>
              <w:bottom w:w="0" w:type="dxa"/>
              <w:right w:w="15" w:type="dxa"/>
            </w:tcMar>
            <w:vAlign w:val="bottom"/>
          </w:tcPr>
          <w:p w:rsidR="0026138D" w:rsidRPr="00A46727" w:rsidRDefault="0026138D" w:rsidP="0026138D">
            <w:pPr>
              <w:jc w:val="right"/>
              <w:rPr>
                <w:rFonts w:ascii="Verdana" w:hAnsi="Verdana"/>
                <w:noProof/>
                <w:sz w:val="16"/>
                <w:szCs w:val="16"/>
              </w:rPr>
            </w:pPr>
            <w:r w:rsidRPr="00A46727">
              <w:rPr>
                <w:rFonts w:ascii="Verdana" w:hAnsi="Verdana"/>
                <w:noProof/>
                <w:sz w:val="16"/>
                <w:szCs w:val="16"/>
              </w:rPr>
              <w:t>6</w:t>
            </w:r>
            <w:r>
              <w:rPr>
                <w:rFonts w:ascii="Verdana" w:hAnsi="Verdana"/>
                <w:noProof/>
                <w:sz w:val="16"/>
                <w:szCs w:val="16"/>
              </w:rPr>
              <w:t>.</w:t>
            </w:r>
            <w:r w:rsidRPr="00A46727">
              <w:rPr>
                <w:rFonts w:ascii="Verdana" w:hAnsi="Verdana"/>
                <w:noProof/>
                <w:sz w:val="16"/>
                <w:szCs w:val="16"/>
              </w:rPr>
              <w:t>1%</w:t>
            </w:r>
          </w:p>
        </w:tc>
      </w:tr>
      <w:tr w:rsidR="0026138D" w:rsidRPr="00353FCF" w:rsidTr="00FD088F">
        <w:trPr>
          <w:trHeight w:val="285"/>
        </w:trPr>
        <w:tc>
          <w:tcPr>
            <w:tcW w:w="3276" w:type="dxa"/>
            <w:tcBorders>
              <w:top w:val="nil"/>
              <w:left w:val="nil"/>
              <w:bottom w:val="nil"/>
              <w:right w:val="nil"/>
            </w:tcBorders>
            <w:noWrap/>
            <w:tcMar>
              <w:top w:w="0" w:type="dxa"/>
              <w:left w:w="15" w:type="dxa"/>
              <w:bottom w:w="0" w:type="dxa"/>
              <w:right w:w="15" w:type="dxa"/>
            </w:tcMar>
            <w:vAlign w:val="bottom"/>
          </w:tcPr>
          <w:p w:rsidR="0026138D" w:rsidRPr="00353FCF" w:rsidRDefault="0026138D" w:rsidP="0026138D">
            <w:pPr>
              <w:jc w:val="both"/>
              <w:rPr>
                <w:rFonts w:ascii="Verdana" w:hAnsi="Verdana"/>
                <w:noProof/>
                <w:sz w:val="16"/>
                <w:szCs w:val="16"/>
                <w:lang w:val="en-GB"/>
              </w:rPr>
            </w:pPr>
            <w:r w:rsidRPr="00353FCF">
              <w:rPr>
                <w:rFonts w:ascii="Verdana" w:hAnsi="Verdana"/>
                <w:noProof/>
                <w:sz w:val="16"/>
                <w:szCs w:val="16"/>
                <w:lang w:val="en-GB"/>
              </w:rPr>
              <w:t xml:space="preserve">EBIT </w:t>
            </w:r>
          </w:p>
        </w:tc>
        <w:tc>
          <w:tcPr>
            <w:tcW w:w="1807" w:type="dxa"/>
            <w:tcBorders>
              <w:top w:val="nil"/>
              <w:left w:val="nil"/>
              <w:bottom w:val="nil"/>
              <w:right w:val="nil"/>
            </w:tcBorders>
            <w:noWrap/>
            <w:tcMar>
              <w:top w:w="0" w:type="dxa"/>
              <w:left w:w="15" w:type="dxa"/>
              <w:bottom w:w="0" w:type="dxa"/>
              <w:right w:w="15" w:type="dxa"/>
            </w:tcMar>
            <w:vAlign w:val="bottom"/>
          </w:tcPr>
          <w:p w:rsidR="0026138D" w:rsidRPr="00666B43" w:rsidRDefault="0026138D" w:rsidP="0026138D">
            <w:pPr>
              <w:jc w:val="right"/>
              <w:rPr>
                <w:rFonts w:ascii="Verdana" w:hAnsi="Verdana"/>
                <w:noProof/>
                <w:sz w:val="16"/>
                <w:szCs w:val="16"/>
              </w:rPr>
            </w:pPr>
            <w:r w:rsidRPr="00666B43">
              <w:rPr>
                <w:rFonts w:ascii="Verdana" w:hAnsi="Verdana"/>
                <w:noProof/>
                <w:sz w:val="16"/>
                <w:szCs w:val="16"/>
              </w:rPr>
              <w:t>(4</w:t>
            </w:r>
            <w:r>
              <w:rPr>
                <w:rFonts w:ascii="Verdana" w:hAnsi="Verdana"/>
                <w:noProof/>
                <w:sz w:val="16"/>
                <w:szCs w:val="16"/>
              </w:rPr>
              <w:t>.</w:t>
            </w:r>
            <w:r w:rsidRPr="00666B43">
              <w:rPr>
                <w:rFonts w:ascii="Verdana" w:hAnsi="Verdana"/>
                <w:noProof/>
                <w:sz w:val="16"/>
                <w:szCs w:val="16"/>
              </w:rPr>
              <w:t>9%)</w:t>
            </w:r>
          </w:p>
        </w:tc>
        <w:tc>
          <w:tcPr>
            <w:tcW w:w="1453" w:type="dxa"/>
            <w:gridSpan w:val="2"/>
            <w:tcBorders>
              <w:top w:val="nil"/>
              <w:left w:val="nil"/>
              <w:bottom w:val="nil"/>
              <w:right w:val="nil"/>
            </w:tcBorders>
            <w:noWrap/>
            <w:tcMar>
              <w:top w:w="0" w:type="dxa"/>
              <w:left w:w="15" w:type="dxa"/>
              <w:bottom w:w="0" w:type="dxa"/>
              <w:right w:w="15" w:type="dxa"/>
            </w:tcMar>
            <w:vAlign w:val="bottom"/>
          </w:tcPr>
          <w:p w:rsidR="0026138D" w:rsidRPr="00A46727" w:rsidRDefault="0026138D" w:rsidP="0026138D">
            <w:pPr>
              <w:jc w:val="right"/>
              <w:rPr>
                <w:rFonts w:ascii="Verdana" w:hAnsi="Verdana"/>
                <w:noProof/>
                <w:sz w:val="16"/>
                <w:szCs w:val="16"/>
              </w:rPr>
            </w:pPr>
            <w:r w:rsidRPr="00A46727">
              <w:rPr>
                <w:rFonts w:ascii="Verdana" w:hAnsi="Verdana"/>
                <w:noProof/>
                <w:sz w:val="16"/>
                <w:szCs w:val="16"/>
              </w:rPr>
              <w:t>2</w:t>
            </w:r>
            <w:r>
              <w:rPr>
                <w:rFonts w:ascii="Verdana" w:hAnsi="Verdana"/>
                <w:noProof/>
                <w:sz w:val="16"/>
                <w:szCs w:val="16"/>
              </w:rPr>
              <w:t>.</w:t>
            </w:r>
            <w:r w:rsidRPr="00A46727">
              <w:rPr>
                <w:rFonts w:ascii="Verdana" w:hAnsi="Verdana"/>
                <w:noProof/>
                <w:sz w:val="16"/>
                <w:szCs w:val="16"/>
              </w:rPr>
              <w:t>0%</w:t>
            </w:r>
          </w:p>
        </w:tc>
      </w:tr>
      <w:tr w:rsidR="0026138D" w:rsidRPr="00353FCF" w:rsidTr="00FD088F">
        <w:trPr>
          <w:trHeight w:val="285"/>
        </w:trPr>
        <w:tc>
          <w:tcPr>
            <w:tcW w:w="3276" w:type="dxa"/>
            <w:tcBorders>
              <w:top w:val="nil"/>
              <w:left w:val="nil"/>
              <w:bottom w:val="nil"/>
              <w:right w:val="nil"/>
            </w:tcBorders>
            <w:noWrap/>
            <w:tcMar>
              <w:top w:w="15" w:type="dxa"/>
              <w:left w:w="15" w:type="dxa"/>
              <w:bottom w:w="0" w:type="dxa"/>
              <w:right w:w="15" w:type="dxa"/>
            </w:tcMar>
            <w:vAlign w:val="bottom"/>
          </w:tcPr>
          <w:p w:rsidR="0026138D" w:rsidRPr="00353FCF" w:rsidRDefault="0026138D" w:rsidP="0026138D">
            <w:pPr>
              <w:jc w:val="both"/>
              <w:rPr>
                <w:rFonts w:ascii="Verdana" w:hAnsi="Verdana"/>
                <w:noProof/>
                <w:sz w:val="16"/>
                <w:szCs w:val="16"/>
                <w:lang w:val="en-GB"/>
              </w:rPr>
            </w:pPr>
            <w:r w:rsidRPr="00353FCF">
              <w:rPr>
                <w:rFonts w:ascii="Verdana" w:hAnsi="Verdana"/>
                <w:noProof/>
                <w:sz w:val="16"/>
                <w:szCs w:val="16"/>
                <w:lang w:val="en-GB"/>
              </w:rPr>
              <w:t>Profit for period</w:t>
            </w:r>
          </w:p>
        </w:tc>
        <w:tc>
          <w:tcPr>
            <w:tcW w:w="1807" w:type="dxa"/>
            <w:tcBorders>
              <w:top w:val="nil"/>
              <w:left w:val="nil"/>
              <w:bottom w:val="nil"/>
              <w:right w:val="nil"/>
            </w:tcBorders>
            <w:noWrap/>
            <w:tcMar>
              <w:top w:w="15" w:type="dxa"/>
              <w:left w:w="15" w:type="dxa"/>
              <w:bottom w:w="0" w:type="dxa"/>
              <w:right w:w="15" w:type="dxa"/>
            </w:tcMar>
            <w:vAlign w:val="bottom"/>
          </w:tcPr>
          <w:p w:rsidR="0026138D" w:rsidRPr="00666B43" w:rsidRDefault="0026138D" w:rsidP="0026138D">
            <w:pPr>
              <w:jc w:val="right"/>
              <w:rPr>
                <w:rFonts w:ascii="Verdana" w:hAnsi="Verdana"/>
                <w:noProof/>
                <w:sz w:val="16"/>
                <w:szCs w:val="16"/>
              </w:rPr>
            </w:pPr>
            <w:r w:rsidRPr="00666B43">
              <w:rPr>
                <w:rFonts w:ascii="Verdana" w:hAnsi="Verdana"/>
                <w:noProof/>
                <w:sz w:val="16"/>
                <w:szCs w:val="16"/>
              </w:rPr>
              <w:t>(15</w:t>
            </w:r>
            <w:r>
              <w:rPr>
                <w:rFonts w:ascii="Verdana" w:hAnsi="Verdana"/>
                <w:noProof/>
                <w:sz w:val="16"/>
                <w:szCs w:val="16"/>
              </w:rPr>
              <w:t>.</w:t>
            </w:r>
            <w:r w:rsidRPr="00666B43">
              <w:rPr>
                <w:rFonts w:ascii="Verdana" w:hAnsi="Verdana"/>
                <w:noProof/>
                <w:sz w:val="16"/>
                <w:szCs w:val="16"/>
              </w:rPr>
              <w:t>8%)</w:t>
            </w:r>
          </w:p>
        </w:tc>
        <w:tc>
          <w:tcPr>
            <w:tcW w:w="1453" w:type="dxa"/>
            <w:gridSpan w:val="2"/>
            <w:tcBorders>
              <w:top w:val="nil"/>
              <w:left w:val="nil"/>
              <w:bottom w:val="nil"/>
              <w:right w:val="nil"/>
            </w:tcBorders>
            <w:noWrap/>
            <w:tcMar>
              <w:top w:w="15" w:type="dxa"/>
              <w:left w:w="15" w:type="dxa"/>
              <w:bottom w:w="0" w:type="dxa"/>
              <w:right w:w="15" w:type="dxa"/>
            </w:tcMar>
            <w:vAlign w:val="bottom"/>
          </w:tcPr>
          <w:p w:rsidR="0026138D" w:rsidRPr="00A46727" w:rsidRDefault="0026138D" w:rsidP="0026138D">
            <w:pPr>
              <w:jc w:val="right"/>
              <w:rPr>
                <w:rFonts w:ascii="Verdana" w:hAnsi="Verdana"/>
                <w:noProof/>
                <w:sz w:val="16"/>
                <w:szCs w:val="16"/>
              </w:rPr>
            </w:pPr>
            <w:r w:rsidRPr="00A46727">
              <w:rPr>
                <w:rFonts w:ascii="Verdana" w:hAnsi="Verdana"/>
                <w:noProof/>
                <w:sz w:val="16"/>
                <w:szCs w:val="16"/>
              </w:rPr>
              <w:t>4</w:t>
            </w:r>
            <w:r>
              <w:rPr>
                <w:rFonts w:ascii="Verdana" w:hAnsi="Verdana"/>
                <w:noProof/>
                <w:sz w:val="16"/>
                <w:szCs w:val="16"/>
              </w:rPr>
              <w:t>.</w:t>
            </w:r>
            <w:r w:rsidRPr="00A46727">
              <w:rPr>
                <w:rFonts w:ascii="Verdana" w:hAnsi="Verdana"/>
                <w:noProof/>
                <w:sz w:val="16"/>
                <w:szCs w:val="16"/>
              </w:rPr>
              <w:t>3%</w:t>
            </w:r>
          </w:p>
        </w:tc>
      </w:tr>
      <w:tr w:rsidR="00FD088F" w:rsidRPr="00353FCF" w:rsidTr="00FD088F">
        <w:trPr>
          <w:trHeight w:val="285"/>
        </w:trPr>
        <w:tc>
          <w:tcPr>
            <w:tcW w:w="3276" w:type="dxa"/>
            <w:tcBorders>
              <w:top w:val="nil"/>
              <w:left w:val="nil"/>
              <w:bottom w:val="nil"/>
              <w:right w:val="nil"/>
            </w:tcBorders>
            <w:noWrap/>
            <w:tcMar>
              <w:top w:w="15" w:type="dxa"/>
              <w:left w:w="15" w:type="dxa"/>
              <w:bottom w:w="0" w:type="dxa"/>
              <w:right w:w="15" w:type="dxa"/>
            </w:tcMar>
            <w:vAlign w:val="bottom"/>
          </w:tcPr>
          <w:p w:rsidR="00FD088F" w:rsidRPr="00353FCF" w:rsidRDefault="00FD088F" w:rsidP="00FD088F">
            <w:pPr>
              <w:jc w:val="both"/>
              <w:rPr>
                <w:rFonts w:ascii="Verdana" w:hAnsi="Verdana"/>
                <w:noProof/>
                <w:sz w:val="16"/>
                <w:szCs w:val="16"/>
                <w:highlight w:val="yellow"/>
                <w:lang w:val="en-GB"/>
              </w:rPr>
            </w:pPr>
          </w:p>
        </w:tc>
        <w:tc>
          <w:tcPr>
            <w:tcW w:w="1842" w:type="dxa"/>
            <w:gridSpan w:val="2"/>
            <w:tcBorders>
              <w:top w:val="nil"/>
              <w:left w:val="nil"/>
              <w:bottom w:val="nil"/>
              <w:right w:val="nil"/>
            </w:tcBorders>
            <w:noWrap/>
            <w:tcMar>
              <w:top w:w="15" w:type="dxa"/>
              <w:left w:w="15" w:type="dxa"/>
              <w:bottom w:w="0" w:type="dxa"/>
              <w:right w:w="15" w:type="dxa"/>
            </w:tcMar>
            <w:vAlign w:val="bottom"/>
          </w:tcPr>
          <w:p w:rsidR="00FD088F" w:rsidRPr="00353FCF" w:rsidRDefault="00FD088F" w:rsidP="00FD088F">
            <w:pPr>
              <w:jc w:val="right"/>
              <w:rPr>
                <w:rFonts w:ascii="Verdana" w:hAnsi="Verdana"/>
                <w:noProof/>
                <w:sz w:val="16"/>
                <w:szCs w:val="16"/>
                <w:highlight w:val="yellow"/>
                <w:lang w:val="en-GB"/>
              </w:rPr>
            </w:pPr>
          </w:p>
        </w:tc>
        <w:tc>
          <w:tcPr>
            <w:tcW w:w="1418" w:type="dxa"/>
            <w:tcBorders>
              <w:top w:val="nil"/>
              <w:left w:val="nil"/>
              <w:bottom w:val="nil"/>
              <w:right w:val="nil"/>
            </w:tcBorders>
            <w:noWrap/>
            <w:tcMar>
              <w:top w:w="15" w:type="dxa"/>
              <w:left w:w="15" w:type="dxa"/>
              <w:bottom w:w="0" w:type="dxa"/>
              <w:right w:w="15" w:type="dxa"/>
            </w:tcMar>
            <w:vAlign w:val="bottom"/>
          </w:tcPr>
          <w:p w:rsidR="00FD088F" w:rsidRPr="00353FCF" w:rsidRDefault="00FD088F" w:rsidP="00FD088F">
            <w:pPr>
              <w:jc w:val="right"/>
              <w:rPr>
                <w:rFonts w:ascii="Verdana" w:hAnsi="Verdana"/>
                <w:noProof/>
                <w:sz w:val="16"/>
                <w:szCs w:val="16"/>
                <w:highlight w:val="yellow"/>
                <w:lang w:val="en-GB"/>
              </w:rPr>
            </w:pPr>
          </w:p>
        </w:tc>
      </w:tr>
      <w:tr w:rsidR="00FD088F" w:rsidRPr="00353FCF" w:rsidTr="00C8268C">
        <w:trPr>
          <w:trHeight w:val="59"/>
        </w:trPr>
        <w:tc>
          <w:tcPr>
            <w:tcW w:w="3276" w:type="dxa"/>
            <w:tcBorders>
              <w:top w:val="nil"/>
              <w:left w:val="nil"/>
              <w:bottom w:val="nil"/>
              <w:right w:val="nil"/>
            </w:tcBorders>
            <w:noWrap/>
            <w:tcMar>
              <w:top w:w="15" w:type="dxa"/>
              <w:left w:w="15" w:type="dxa"/>
              <w:bottom w:w="0" w:type="dxa"/>
              <w:right w:w="15" w:type="dxa"/>
            </w:tcMar>
            <w:vAlign w:val="bottom"/>
          </w:tcPr>
          <w:p w:rsidR="00FD088F" w:rsidRPr="00353FCF" w:rsidRDefault="00FD088F" w:rsidP="00FD088F">
            <w:pPr>
              <w:jc w:val="both"/>
              <w:rPr>
                <w:rFonts w:ascii="Verdana" w:hAnsi="Verdana"/>
                <w:noProof/>
                <w:sz w:val="16"/>
                <w:szCs w:val="16"/>
                <w:highlight w:val="yellow"/>
                <w:lang w:val="en-GB"/>
              </w:rPr>
            </w:pPr>
          </w:p>
        </w:tc>
        <w:tc>
          <w:tcPr>
            <w:tcW w:w="1842" w:type="dxa"/>
            <w:gridSpan w:val="2"/>
            <w:tcBorders>
              <w:top w:val="nil"/>
              <w:left w:val="nil"/>
              <w:bottom w:val="nil"/>
              <w:right w:val="nil"/>
            </w:tcBorders>
            <w:noWrap/>
            <w:tcMar>
              <w:top w:w="15" w:type="dxa"/>
              <w:left w:w="15" w:type="dxa"/>
              <w:bottom w:w="0" w:type="dxa"/>
              <w:right w:w="15" w:type="dxa"/>
            </w:tcMar>
            <w:vAlign w:val="bottom"/>
          </w:tcPr>
          <w:p w:rsidR="00FD088F" w:rsidRPr="00353FCF" w:rsidRDefault="00FD088F" w:rsidP="00FD088F">
            <w:pPr>
              <w:jc w:val="right"/>
              <w:rPr>
                <w:rFonts w:ascii="Verdana" w:hAnsi="Verdana"/>
                <w:noProof/>
                <w:sz w:val="16"/>
                <w:szCs w:val="16"/>
                <w:highlight w:val="yellow"/>
                <w:lang w:val="en-GB"/>
              </w:rPr>
            </w:pPr>
          </w:p>
        </w:tc>
        <w:tc>
          <w:tcPr>
            <w:tcW w:w="1418" w:type="dxa"/>
            <w:tcBorders>
              <w:top w:val="nil"/>
              <w:left w:val="nil"/>
              <w:bottom w:val="nil"/>
              <w:right w:val="nil"/>
            </w:tcBorders>
            <w:noWrap/>
            <w:tcMar>
              <w:top w:w="15" w:type="dxa"/>
              <w:left w:w="15" w:type="dxa"/>
              <w:bottom w:w="0" w:type="dxa"/>
              <w:right w:w="15" w:type="dxa"/>
            </w:tcMar>
            <w:vAlign w:val="bottom"/>
          </w:tcPr>
          <w:p w:rsidR="00FD088F" w:rsidRPr="00353FCF" w:rsidRDefault="00FD088F" w:rsidP="00FD088F">
            <w:pPr>
              <w:jc w:val="right"/>
              <w:rPr>
                <w:rFonts w:ascii="Verdana" w:hAnsi="Verdana"/>
                <w:noProof/>
                <w:sz w:val="16"/>
                <w:szCs w:val="16"/>
                <w:highlight w:val="yellow"/>
                <w:lang w:val="en-GB"/>
              </w:rPr>
            </w:pPr>
          </w:p>
        </w:tc>
      </w:tr>
    </w:tbl>
    <w:p w:rsidR="002F6CAB" w:rsidRPr="00353FCF" w:rsidRDefault="002F6CAB" w:rsidP="006452AA">
      <w:pPr>
        <w:autoSpaceDE w:val="0"/>
        <w:autoSpaceDN w:val="0"/>
        <w:adjustRightInd w:val="0"/>
        <w:jc w:val="both"/>
        <w:rPr>
          <w:rFonts w:ascii="Verdana" w:hAnsi="Verdana" w:cs="Verdana"/>
          <w:sz w:val="16"/>
          <w:szCs w:val="16"/>
          <w:lang w:val="en-GB"/>
        </w:rPr>
      </w:pPr>
    </w:p>
    <w:p w:rsidR="002F6CAB" w:rsidRPr="00353FCF" w:rsidRDefault="002F6CAB" w:rsidP="006452AA">
      <w:pPr>
        <w:autoSpaceDE w:val="0"/>
        <w:autoSpaceDN w:val="0"/>
        <w:adjustRightInd w:val="0"/>
        <w:jc w:val="both"/>
        <w:rPr>
          <w:rFonts w:ascii="Verdana" w:hAnsi="Verdana" w:cs="Verdana"/>
          <w:sz w:val="16"/>
          <w:szCs w:val="16"/>
          <w:lang w:val="en-GB"/>
        </w:rPr>
      </w:pPr>
    </w:p>
    <w:p w:rsidR="002F6CAB" w:rsidRPr="00353FCF" w:rsidRDefault="002F6CAB" w:rsidP="006452AA">
      <w:pPr>
        <w:autoSpaceDE w:val="0"/>
        <w:autoSpaceDN w:val="0"/>
        <w:adjustRightInd w:val="0"/>
        <w:jc w:val="both"/>
        <w:rPr>
          <w:rFonts w:ascii="Verdana" w:hAnsi="Verdana" w:cs="Verdana"/>
          <w:sz w:val="16"/>
          <w:szCs w:val="16"/>
          <w:lang w:val="en-GB"/>
        </w:rPr>
      </w:pPr>
    </w:p>
    <w:p w:rsidR="002F6CAB" w:rsidRPr="00353FCF" w:rsidRDefault="002F6CAB" w:rsidP="006452AA">
      <w:pPr>
        <w:autoSpaceDE w:val="0"/>
        <w:autoSpaceDN w:val="0"/>
        <w:adjustRightInd w:val="0"/>
        <w:jc w:val="both"/>
        <w:rPr>
          <w:rFonts w:ascii="Verdana" w:hAnsi="Verdana" w:cs="Verdana"/>
          <w:sz w:val="16"/>
          <w:szCs w:val="16"/>
          <w:lang w:val="en-GB"/>
        </w:rPr>
      </w:pPr>
    </w:p>
    <w:p w:rsidR="00FD088F" w:rsidRPr="00353FCF" w:rsidRDefault="00FD088F" w:rsidP="006452AA">
      <w:pPr>
        <w:autoSpaceDE w:val="0"/>
        <w:autoSpaceDN w:val="0"/>
        <w:adjustRightInd w:val="0"/>
        <w:jc w:val="both"/>
        <w:rPr>
          <w:rFonts w:ascii="Verdana" w:hAnsi="Verdana" w:cs="Verdana"/>
          <w:sz w:val="16"/>
          <w:szCs w:val="16"/>
          <w:lang w:val="en-GB"/>
        </w:rPr>
      </w:pPr>
    </w:p>
    <w:p w:rsidR="00FD088F" w:rsidRPr="00353FCF" w:rsidRDefault="00FD088F" w:rsidP="006452AA">
      <w:pPr>
        <w:autoSpaceDE w:val="0"/>
        <w:autoSpaceDN w:val="0"/>
        <w:adjustRightInd w:val="0"/>
        <w:jc w:val="both"/>
        <w:rPr>
          <w:rFonts w:ascii="Verdana" w:hAnsi="Verdana" w:cs="Verdana"/>
          <w:sz w:val="16"/>
          <w:szCs w:val="16"/>
          <w:lang w:val="en-GB"/>
        </w:rPr>
      </w:pPr>
    </w:p>
    <w:p w:rsidR="00FD088F" w:rsidRPr="00353FCF" w:rsidRDefault="00FD088F" w:rsidP="006452AA">
      <w:pPr>
        <w:autoSpaceDE w:val="0"/>
        <w:autoSpaceDN w:val="0"/>
        <w:adjustRightInd w:val="0"/>
        <w:jc w:val="both"/>
        <w:rPr>
          <w:rFonts w:ascii="Verdana" w:hAnsi="Verdana" w:cs="Verdana"/>
          <w:sz w:val="16"/>
          <w:szCs w:val="16"/>
          <w:lang w:val="en-GB"/>
        </w:rPr>
      </w:pPr>
    </w:p>
    <w:p w:rsidR="00FD088F" w:rsidRPr="00353FCF" w:rsidRDefault="00FD088F" w:rsidP="006452AA">
      <w:pPr>
        <w:autoSpaceDE w:val="0"/>
        <w:autoSpaceDN w:val="0"/>
        <w:adjustRightInd w:val="0"/>
        <w:jc w:val="both"/>
        <w:rPr>
          <w:rFonts w:ascii="Verdana" w:hAnsi="Verdana" w:cs="Verdana"/>
          <w:sz w:val="16"/>
          <w:szCs w:val="16"/>
          <w:lang w:val="en-GB"/>
        </w:rPr>
      </w:pPr>
    </w:p>
    <w:p w:rsidR="00FD088F" w:rsidRPr="00353FCF" w:rsidRDefault="00FD088F" w:rsidP="006452AA">
      <w:pPr>
        <w:autoSpaceDE w:val="0"/>
        <w:autoSpaceDN w:val="0"/>
        <w:adjustRightInd w:val="0"/>
        <w:jc w:val="both"/>
        <w:rPr>
          <w:rFonts w:ascii="Verdana" w:hAnsi="Verdana" w:cs="Verdana"/>
          <w:sz w:val="16"/>
          <w:szCs w:val="16"/>
          <w:lang w:val="en-GB"/>
        </w:rPr>
      </w:pPr>
    </w:p>
    <w:p w:rsidR="00FD088F" w:rsidRPr="00353FCF" w:rsidRDefault="00FD088F" w:rsidP="006452AA">
      <w:pPr>
        <w:autoSpaceDE w:val="0"/>
        <w:autoSpaceDN w:val="0"/>
        <w:adjustRightInd w:val="0"/>
        <w:jc w:val="both"/>
        <w:rPr>
          <w:rFonts w:ascii="Verdana" w:hAnsi="Verdana" w:cs="Verdana"/>
          <w:sz w:val="16"/>
          <w:szCs w:val="16"/>
          <w:lang w:val="en-GB"/>
        </w:rPr>
      </w:pPr>
    </w:p>
    <w:p w:rsidR="00FD088F" w:rsidRPr="00353FCF" w:rsidRDefault="00FD088F" w:rsidP="006452AA">
      <w:pPr>
        <w:autoSpaceDE w:val="0"/>
        <w:autoSpaceDN w:val="0"/>
        <w:adjustRightInd w:val="0"/>
        <w:jc w:val="both"/>
        <w:rPr>
          <w:rFonts w:ascii="Verdana" w:hAnsi="Verdana" w:cs="Verdana"/>
          <w:sz w:val="16"/>
          <w:szCs w:val="16"/>
          <w:lang w:val="en-GB"/>
        </w:rPr>
      </w:pPr>
    </w:p>
    <w:p w:rsidR="00FD088F" w:rsidRPr="00353FCF" w:rsidRDefault="00FD088F" w:rsidP="006452AA">
      <w:pPr>
        <w:autoSpaceDE w:val="0"/>
        <w:autoSpaceDN w:val="0"/>
        <w:adjustRightInd w:val="0"/>
        <w:jc w:val="both"/>
        <w:rPr>
          <w:rFonts w:ascii="Verdana" w:hAnsi="Verdana" w:cs="Verdana"/>
          <w:sz w:val="16"/>
          <w:szCs w:val="16"/>
          <w:lang w:val="en-GB"/>
        </w:rPr>
      </w:pPr>
    </w:p>
    <w:p w:rsidR="00FD088F" w:rsidRPr="00353FCF" w:rsidRDefault="00FD088F" w:rsidP="006452AA">
      <w:pPr>
        <w:autoSpaceDE w:val="0"/>
        <w:autoSpaceDN w:val="0"/>
        <w:adjustRightInd w:val="0"/>
        <w:jc w:val="both"/>
        <w:rPr>
          <w:rFonts w:ascii="Verdana" w:hAnsi="Verdana" w:cs="Verdana"/>
          <w:sz w:val="16"/>
          <w:szCs w:val="16"/>
          <w:lang w:val="en-GB"/>
        </w:rPr>
      </w:pPr>
    </w:p>
    <w:p w:rsidR="00FD088F" w:rsidRPr="00353FCF" w:rsidRDefault="00FD088F" w:rsidP="006452AA">
      <w:pPr>
        <w:autoSpaceDE w:val="0"/>
        <w:autoSpaceDN w:val="0"/>
        <w:adjustRightInd w:val="0"/>
        <w:jc w:val="both"/>
        <w:rPr>
          <w:rFonts w:ascii="Verdana" w:hAnsi="Verdana" w:cs="Verdana"/>
          <w:sz w:val="16"/>
          <w:szCs w:val="16"/>
          <w:lang w:val="en-GB"/>
        </w:rPr>
      </w:pPr>
    </w:p>
    <w:p w:rsidR="00FD088F" w:rsidRPr="00353FCF" w:rsidRDefault="00FD088F" w:rsidP="006452AA">
      <w:pPr>
        <w:autoSpaceDE w:val="0"/>
        <w:autoSpaceDN w:val="0"/>
        <w:adjustRightInd w:val="0"/>
        <w:jc w:val="both"/>
        <w:rPr>
          <w:rFonts w:ascii="Verdana" w:hAnsi="Verdana" w:cs="Verdana"/>
          <w:sz w:val="16"/>
          <w:szCs w:val="16"/>
          <w:lang w:val="en-GB"/>
        </w:rPr>
      </w:pPr>
    </w:p>
    <w:p w:rsidR="00FD088F" w:rsidRPr="00353FCF" w:rsidRDefault="00FD088F" w:rsidP="006452AA">
      <w:pPr>
        <w:autoSpaceDE w:val="0"/>
        <w:autoSpaceDN w:val="0"/>
        <w:adjustRightInd w:val="0"/>
        <w:jc w:val="both"/>
        <w:rPr>
          <w:rFonts w:ascii="Verdana" w:hAnsi="Verdana" w:cs="Verdana"/>
          <w:sz w:val="16"/>
          <w:szCs w:val="16"/>
          <w:lang w:val="en-GB"/>
        </w:rPr>
      </w:pPr>
    </w:p>
    <w:p w:rsidR="00FD088F" w:rsidRPr="00353FCF" w:rsidRDefault="00FD088F" w:rsidP="006452AA">
      <w:pPr>
        <w:autoSpaceDE w:val="0"/>
        <w:autoSpaceDN w:val="0"/>
        <w:adjustRightInd w:val="0"/>
        <w:jc w:val="both"/>
        <w:rPr>
          <w:rFonts w:ascii="Verdana" w:hAnsi="Verdana" w:cs="Verdana"/>
          <w:sz w:val="16"/>
          <w:szCs w:val="16"/>
          <w:lang w:val="en-GB"/>
        </w:rPr>
      </w:pPr>
    </w:p>
    <w:p w:rsidR="00FD088F" w:rsidRPr="00353FCF" w:rsidRDefault="00FD088F" w:rsidP="006452AA">
      <w:pPr>
        <w:autoSpaceDE w:val="0"/>
        <w:autoSpaceDN w:val="0"/>
        <w:adjustRightInd w:val="0"/>
        <w:jc w:val="both"/>
        <w:rPr>
          <w:rFonts w:ascii="Verdana" w:hAnsi="Verdana" w:cs="Verdana"/>
          <w:sz w:val="16"/>
          <w:szCs w:val="16"/>
          <w:lang w:val="en-GB"/>
        </w:rPr>
      </w:pPr>
    </w:p>
    <w:p w:rsidR="00FD088F" w:rsidRPr="00353FCF" w:rsidRDefault="00FD088F" w:rsidP="006452AA">
      <w:pPr>
        <w:autoSpaceDE w:val="0"/>
        <w:autoSpaceDN w:val="0"/>
        <w:adjustRightInd w:val="0"/>
        <w:jc w:val="both"/>
        <w:rPr>
          <w:rFonts w:ascii="Verdana" w:hAnsi="Verdana" w:cs="Verdana"/>
          <w:sz w:val="16"/>
          <w:szCs w:val="16"/>
          <w:lang w:val="en-GB"/>
        </w:rPr>
      </w:pPr>
    </w:p>
    <w:p w:rsidR="00FD088F" w:rsidRPr="00353FCF" w:rsidRDefault="00FD088F" w:rsidP="006452AA">
      <w:pPr>
        <w:autoSpaceDE w:val="0"/>
        <w:autoSpaceDN w:val="0"/>
        <w:adjustRightInd w:val="0"/>
        <w:jc w:val="both"/>
        <w:rPr>
          <w:rFonts w:ascii="Verdana" w:hAnsi="Verdana" w:cs="Verdana"/>
          <w:sz w:val="16"/>
          <w:szCs w:val="16"/>
          <w:lang w:val="en-GB"/>
        </w:rPr>
      </w:pPr>
    </w:p>
    <w:p w:rsidR="00FD088F" w:rsidRPr="00353FCF" w:rsidRDefault="00FD088F" w:rsidP="006452AA">
      <w:pPr>
        <w:autoSpaceDE w:val="0"/>
        <w:autoSpaceDN w:val="0"/>
        <w:adjustRightInd w:val="0"/>
        <w:jc w:val="both"/>
        <w:rPr>
          <w:rFonts w:ascii="Verdana" w:hAnsi="Verdana" w:cs="Verdana"/>
          <w:sz w:val="16"/>
          <w:szCs w:val="16"/>
          <w:lang w:val="en-GB"/>
        </w:rPr>
      </w:pPr>
    </w:p>
    <w:p w:rsidR="00FD088F" w:rsidRPr="00353FCF" w:rsidRDefault="00FD088F" w:rsidP="006452AA">
      <w:pPr>
        <w:autoSpaceDE w:val="0"/>
        <w:autoSpaceDN w:val="0"/>
        <w:adjustRightInd w:val="0"/>
        <w:jc w:val="both"/>
        <w:rPr>
          <w:rFonts w:ascii="Verdana" w:hAnsi="Verdana" w:cs="Verdana"/>
          <w:sz w:val="16"/>
          <w:szCs w:val="16"/>
          <w:lang w:val="en-GB"/>
        </w:rPr>
      </w:pPr>
    </w:p>
    <w:p w:rsidR="00FD088F" w:rsidRPr="00353FCF" w:rsidRDefault="00FD088F" w:rsidP="006452AA">
      <w:pPr>
        <w:autoSpaceDE w:val="0"/>
        <w:autoSpaceDN w:val="0"/>
        <w:adjustRightInd w:val="0"/>
        <w:jc w:val="both"/>
        <w:rPr>
          <w:rFonts w:ascii="Verdana" w:hAnsi="Verdana" w:cs="Verdana"/>
          <w:sz w:val="16"/>
          <w:szCs w:val="16"/>
          <w:lang w:val="en-GB"/>
        </w:rPr>
      </w:pPr>
    </w:p>
    <w:p w:rsidR="001D0DF2" w:rsidRDefault="001D0DF2" w:rsidP="009959FB">
      <w:pPr>
        <w:pStyle w:val="BodyText"/>
        <w:spacing w:before="0"/>
        <w:outlineLvl w:val="0"/>
        <w:rPr>
          <w:rFonts w:ascii="Verdana" w:hAnsi="Verdana"/>
          <w:b/>
          <w:noProof/>
          <w:sz w:val="24"/>
          <w:szCs w:val="24"/>
          <w:lang w:val="en-GB"/>
        </w:rPr>
      </w:pPr>
    </w:p>
    <w:p w:rsidR="001D0DF2" w:rsidRDefault="001D0DF2" w:rsidP="009959FB">
      <w:pPr>
        <w:pStyle w:val="BodyText"/>
        <w:spacing w:before="0"/>
        <w:outlineLvl w:val="0"/>
        <w:rPr>
          <w:rFonts w:ascii="Verdana" w:hAnsi="Verdana"/>
          <w:b/>
          <w:noProof/>
          <w:sz w:val="24"/>
          <w:szCs w:val="24"/>
          <w:lang w:val="en-GB"/>
        </w:rPr>
      </w:pPr>
    </w:p>
    <w:p w:rsidR="001D0DF2" w:rsidRDefault="001D0DF2" w:rsidP="009959FB">
      <w:pPr>
        <w:pStyle w:val="BodyText"/>
        <w:spacing w:before="0"/>
        <w:outlineLvl w:val="0"/>
        <w:rPr>
          <w:rFonts w:ascii="Verdana" w:hAnsi="Verdana"/>
          <w:b/>
          <w:noProof/>
          <w:sz w:val="24"/>
          <w:szCs w:val="24"/>
          <w:lang w:val="en-GB"/>
        </w:rPr>
      </w:pPr>
    </w:p>
    <w:p w:rsidR="001D0DF2" w:rsidRDefault="001D0DF2" w:rsidP="009959FB">
      <w:pPr>
        <w:pStyle w:val="BodyText"/>
        <w:spacing w:before="0"/>
        <w:outlineLvl w:val="0"/>
        <w:rPr>
          <w:rFonts w:ascii="Verdana" w:hAnsi="Verdana"/>
          <w:b/>
          <w:noProof/>
          <w:sz w:val="24"/>
          <w:szCs w:val="24"/>
          <w:lang w:val="en-GB"/>
        </w:rPr>
      </w:pPr>
    </w:p>
    <w:p w:rsidR="009959FB" w:rsidRPr="00353FCF" w:rsidRDefault="009959FB" w:rsidP="009959FB">
      <w:pPr>
        <w:pStyle w:val="BodyText"/>
        <w:spacing w:before="0"/>
        <w:outlineLvl w:val="0"/>
        <w:rPr>
          <w:rFonts w:ascii="Verdana" w:hAnsi="Verdana"/>
          <w:b/>
          <w:noProof/>
          <w:sz w:val="24"/>
          <w:szCs w:val="24"/>
          <w:lang w:val="en-GB"/>
        </w:rPr>
      </w:pPr>
      <w:r w:rsidRPr="00353FCF">
        <w:rPr>
          <w:rFonts w:ascii="Verdana" w:hAnsi="Verdana"/>
          <w:b/>
          <w:noProof/>
          <w:sz w:val="24"/>
          <w:szCs w:val="24"/>
          <w:lang w:val="en-GB"/>
        </w:rPr>
        <w:t>Proforma performance</w:t>
      </w:r>
    </w:p>
    <w:p w:rsidR="001A0AD0" w:rsidRPr="00353FCF" w:rsidRDefault="009959FB" w:rsidP="00C8268C">
      <w:pPr>
        <w:pStyle w:val="BodyText"/>
        <w:spacing w:before="360"/>
        <w:outlineLvl w:val="0"/>
        <w:rPr>
          <w:rFonts w:ascii="Verdana" w:hAnsi="Verdana" w:cs="Verdana"/>
          <w:b/>
          <w:bCs/>
          <w:color w:val="000000"/>
          <w:szCs w:val="22"/>
          <w:lang w:val="en-GB"/>
        </w:rPr>
      </w:pPr>
      <w:r w:rsidRPr="00353FCF">
        <w:rPr>
          <w:rFonts w:ascii="Verdana" w:hAnsi="Verdana"/>
          <w:noProof/>
          <w:sz w:val="16"/>
          <w:szCs w:val="16"/>
          <w:lang w:val="en-GB"/>
        </w:rPr>
        <w:t>Performance of Marel Food Systems and core business of Stork Food Systems (excluding Food and Dairy</w:t>
      </w:r>
      <w:r w:rsidR="006B537B">
        <w:rPr>
          <w:rFonts w:ascii="Verdana" w:hAnsi="Verdana"/>
          <w:noProof/>
          <w:sz w:val="16"/>
          <w:szCs w:val="16"/>
          <w:lang w:val="en-GB"/>
        </w:rPr>
        <w:t xml:space="preserve"> and one-time costs related to Stork</w:t>
      </w:r>
      <w:r w:rsidRPr="00353FCF">
        <w:rPr>
          <w:rFonts w:ascii="Verdana" w:hAnsi="Verdana"/>
          <w:noProof/>
          <w:sz w:val="16"/>
          <w:szCs w:val="16"/>
          <w:lang w:val="en-GB"/>
        </w:rPr>
        <w:t>).</w:t>
      </w:r>
    </w:p>
    <w:tbl>
      <w:tblPr>
        <w:tblpPr w:leftFromText="180" w:rightFromText="180" w:vertAnchor="text" w:horzAnchor="margin" w:tblpY="403"/>
        <w:tblOverlap w:val="never"/>
        <w:tblW w:w="9796" w:type="dxa"/>
        <w:tblLayout w:type="fixed"/>
        <w:tblLook w:val="0480"/>
      </w:tblPr>
      <w:tblGrid>
        <w:gridCol w:w="1807"/>
        <w:gridCol w:w="1185"/>
        <w:gridCol w:w="284"/>
        <w:gridCol w:w="1523"/>
        <w:gridCol w:w="284"/>
        <w:gridCol w:w="1523"/>
        <w:gridCol w:w="284"/>
        <w:gridCol w:w="1169"/>
        <w:gridCol w:w="284"/>
        <w:gridCol w:w="129"/>
        <w:gridCol w:w="1324"/>
      </w:tblGrid>
      <w:tr w:rsidR="001A0AD0" w:rsidRPr="00353FCF" w:rsidTr="001A0AD0">
        <w:trPr>
          <w:trHeight w:val="360"/>
        </w:trPr>
        <w:tc>
          <w:tcPr>
            <w:tcW w:w="1807" w:type="dxa"/>
            <w:tcBorders>
              <w:top w:val="nil"/>
              <w:left w:val="nil"/>
              <w:bottom w:val="single" w:sz="4" w:space="0" w:color="auto"/>
              <w:right w:val="nil"/>
            </w:tcBorders>
            <w:shd w:val="clear" w:color="auto" w:fill="003366"/>
          </w:tcPr>
          <w:p w:rsidR="001A0AD0" w:rsidRPr="00353FCF" w:rsidRDefault="001A0AD0" w:rsidP="001A0AD0">
            <w:pPr>
              <w:rPr>
                <w:rFonts w:ascii="Verdana" w:hAnsi="Verdana"/>
                <w:b/>
                <w:noProof/>
                <w:sz w:val="16"/>
                <w:szCs w:val="16"/>
                <w:lang w:val="en-GB"/>
              </w:rPr>
            </w:pPr>
          </w:p>
        </w:tc>
        <w:tc>
          <w:tcPr>
            <w:tcW w:w="6536" w:type="dxa"/>
            <w:gridSpan w:val="8"/>
            <w:tcBorders>
              <w:top w:val="nil"/>
              <w:left w:val="nil"/>
              <w:bottom w:val="single" w:sz="4" w:space="0" w:color="auto"/>
              <w:right w:val="nil"/>
            </w:tcBorders>
            <w:shd w:val="clear" w:color="auto" w:fill="003366"/>
            <w:noWrap/>
            <w:tcMar>
              <w:top w:w="0" w:type="dxa"/>
              <w:left w:w="15" w:type="dxa"/>
              <w:bottom w:w="0" w:type="dxa"/>
              <w:right w:w="15" w:type="dxa"/>
            </w:tcMar>
            <w:vAlign w:val="bottom"/>
          </w:tcPr>
          <w:p w:rsidR="001A0AD0" w:rsidRPr="00353FCF" w:rsidRDefault="001A0AD0" w:rsidP="001A0AD0">
            <w:pPr>
              <w:rPr>
                <w:rFonts w:ascii="Verdana" w:hAnsi="Verdana"/>
                <w:b/>
                <w:noProof/>
                <w:sz w:val="16"/>
                <w:szCs w:val="16"/>
                <w:lang w:val="en-GB"/>
              </w:rPr>
            </w:pPr>
            <w:r w:rsidRPr="00353FCF">
              <w:rPr>
                <w:rFonts w:ascii="Verdana" w:hAnsi="Verdana"/>
                <w:b/>
                <w:noProof/>
                <w:sz w:val="16"/>
                <w:szCs w:val="16"/>
                <w:lang w:val="en-GB"/>
              </w:rPr>
              <w:t>Proforma operations for January to Dec. – main results in thous. euros</w:t>
            </w:r>
          </w:p>
        </w:tc>
        <w:tc>
          <w:tcPr>
            <w:tcW w:w="1453" w:type="dxa"/>
            <w:gridSpan w:val="2"/>
            <w:tcBorders>
              <w:top w:val="nil"/>
              <w:left w:val="nil"/>
              <w:bottom w:val="single" w:sz="4" w:space="0" w:color="auto"/>
              <w:right w:val="nil"/>
            </w:tcBorders>
            <w:shd w:val="clear" w:color="auto" w:fill="003366"/>
          </w:tcPr>
          <w:p w:rsidR="001A0AD0" w:rsidRPr="00353FCF" w:rsidRDefault="001A0AD0" w:rsidP="001A0AD0">
            <w:pPr>
              <w:rPr>
                <w:rFonts w:ascii="Verdana" w:hAnsi="Verdana"/>
                <w:b/>
                <w:noProof/>
                <w:sz w:val="16"/>
                <w:szCs w:val="16"/>
                <w:lang w:val="en-GB"/>
              </w:rPr>
            </w:pPr>
          </w:p>
        </w:tc>
      </w:tr>
      <w:tr w:rsidR="001A0AD0" w:rsidRPr="00353FCF" w:rsidTr="001A0AD0">
        <w:trPr>
          <w:trHeight w:val="300"/>
        </w:trPr>
        <w:tc>
          <w:tcPr>
            <w:tcW w:w="3276" w:type="dxa"/>
            <w:gridSpan w:val="3"/>
            <w:tcBorders>
              <w:top w:val="nil"/>
              <w:left w:val="nil"/>
              <w:bottom w:val="nil"/>
              <w:right w:val="nil"/>
            </w:tcBorders>
            <w:noWrap/>
            <w:tcMar>
              <w:top w:w="0" w:type="dxa"/>
              <w:left w:w="15" w:type="dxa"/>
              <w:bottom w:w="0" w:type="dxa"/>
              <w:right w:w="15" w:type="dxa"/>
            </w:tcMar>
            <w:vAlign w:val="bottom"/>
          </w:tcPr>
          <w:p w:rsidR="001A0AD0" w:rsidRPr="00353FCF" w:rsidRDefault="001A0AD0" w:rsidP="001A0AD0">
            <w:pPr>
              <w:rPr>
                <w:rFonts w:ascii="Verdana" w:hAnsi="Verdana"/>
                <w:noProof/>
                <w:sz w:val="16"/>
                <w:szCs w:val="16"/>
                <w:lang w:val="en-GB"/>
              </w:rPr>
            </w:pPr>
          </w:p>
        </w:tc>
        <w:tc>
          <w:tcPr>
            <w:tcW w:w="1807" w:type="dxa"/>
            <w:gridSpan w:val="2"/>
            <w:tcBorders>
              <w:top w:val="nil"/>
              <w:left w:val="nil"/>
              <w:bottom w:val="nil"/>
              <w:right w:val="nil"/>
            </w:tcBorders>
            <w:tcMar>
              <w:top w:w="0" w:type="dxa"/>
              <w:left w:w="15" w:type="dxa"/>
              <w:bottom w:w="0" w:type="dxa"/>
              <w:right w:w="15" w:type="dxa"/>
            </w:tcMar>
          </w:tcPr>
          <w:p w:rsidR="001A0AD0" w:rsidRPr="00353FCF" w:rsidRDefault="001A0AD0" w:rsidP="001A0AD0">
            <w:pPr>
              <w:jc w:val="right"/>
              <w:rPr>
                <w:rFonts w:ascii="Verdana" w:hAnsi="Verdana"/>
                <w:noProof/>
                <w:sz w:val="16"/>
                <w:szCs w:val="16"/>
                <w:lang w:val="en-GB"/>
              </w:rPr>
            </w:pPr>
          </w:p>
        </w:tc>
        <w:tc>
          <w:tcPr>
            <w:tcW w:w="1807" w:type="dxa"/>
            <w:gridSpan w:val="2"/>
            <w:tcBorders>
              <w:top w:val="nil"/>
              <w:left w:val="nil"/>
              <w:bottom w:val="nil"/>
              <w:right w:val="nil"/>
            </w:tcBorders>
            <w:noWrap/>
            <w:tcMar>
              <w:top w:w="0" w:type="dxa"/>
              <w:left w:w="15" w:type="dxa"/>
              <w:bottom w:w="0" w:type="dxa"/>
              <w:right w:w="15" w:type="dxa"/>
            </w:tcMar>
            <w:vAlign w:val="bottom"/>
          </w:tcPr>
          <w:p w:rsidR="001A0AD0" w:rsidRPr="00353FCF" w:rsidRDefault="001A0AD0" w:rsidP="001A0AD0">
            <w:pPr>
              <w:jc w:val="right"/>
              <w:rPr>
                <w:rFonts w:ascii="Verdana" w:hAnsi="Verdana"/>
                <w:noProof/>
                <w:sz w:val="16"/>
                <w:szCs w:val="16"/>
                <w:lang w:val="en-GB"/>
              </w:rPr>
            </w:pPr>
          </w:p>
        </w:tc>
        <w:tc>
          <w:tcPr>
            <w:tcW w:w="1453" w:type="dxa"/>
            <w:gridSpan w:val="2"/>
            <w:tcBorders>
              <w:top w:val="nil"/>
              <w:left w:val="nil"/>
              <w:bottom w:val="nil"/>
              <w:right w:val="nil"/>
            </w:tcBorders>
            <w:noWrap/>
            <w:tcMar>
              <w:top w:w="0" w:type="dxa"/>
              <w:left w:w="15" w:type="dxa"/>
              <w:bottom w:w="0" w:type="dxa"/>
              <w:right w:w="15" w:type="dxa"/>
            </w:tcMar>
            <w:vAlign w:val="bottom"/>
          </w:tcPr>
          <w:p w:rsidR="001A0AD0" w:rsidRPr="00353FCF" w:rsidRDefault="001A0AD0" w:rsidP="001A0AD0">
            <w:pPr>
              <w:jc w:val="right"/>
              <w:rPr>
                <w:rFonts w:ascii="Verdana" w:hAnsi="Verdana"/>
                <w:noProof/>
                <w:sz w:val="16"/>
                <w:szCs w:val="16"/>
                <w:lang w:val="en-GB"/>
              </w:rPr>
            </w:pPr>
          </w:p>
        </w:tc>
        <w:tc>
          <w:tcPr>
            <w:tcW w:w="1453" w:type="dxa"/>
            <w:gridSpan w:val="2"/>
            <w:tcBorders>
              <w:top w:val="nil"/>
              <w:left w:val="nil"/>
              <w:bottom w:val="nil"/>
              <w:right w:val="nil"/>
            </w:tcBorders>
          </w:tcPr>
          <w:p w:rsidR="001A0AD0" w:rsidRPr="00353FCF" w:rsidRDefault="001A0AD0" w:rsidP="001A0AD0">
            <w:pPr>
              <w:jc w:val="right"/>
              <w:rPr>
                <w:rFonts w:ascii="Verdana" w:hAnsi="Verdana"/>
                <w:noProof/>
                <w:sz w:val="16"/>
                <w:szCs w:val="16"/>
                <w:lang w:val="en-GB"/>
              </w:rPr>
            </w:pPr>
          </w:p>
        </w:tc>
      </w:tr>
      <w:tr w:rsidR="001A0AD0" w:rsidRPr="00353FCF" w:rsidTr="00D715D2">
        <w:trPr>
          <w:gridAfter w:val="1"/>
          <w:wAfter w:w="1324" w:type="dxa"/>
          <w:trHeight w:val="300"/>
        </w:trPr>
        <w:tc>
          <w:tcPr>
            <w:tcW w:w="2992" w:type="dxa"/>
            <w:gridSpan w:val="2"/>
            <w:tcBorders>
              <w:top w:val="nil"/>
              <w:left w:val="nil"/>
              <w:bottom w:val="nil"/>
              <w:right w:val="nil"/>
            </w:tcBorders>
            <w:shd w:val="clear" w:color="auto" w:fill="C0C0C0"/>
            <w:noWrap/>
            <w:tcMar>
              <w:top w:w="15" w:type="dxa"/>
              <w:left w:w="15" w:type="dxa"/>
              <w:bottom w:w="0" w:type="dxa"/>
              <w:right w:w="15" w:type="dxa"/>
            </w:tcMar>
            <w:vAlign w:val="bottom"/>
          </w:tcPr>
          <w:p w:rsidR="001A0AD0" w:rsidRPr="00353FCF" w:rsidRDefault="001A0AD0" w:rsidP="001A0AD0">
            <w:pPr>
              <w:rPr>
                <w:rFonts w:ascii="Verdana" w:hAnsi="Verdana"/>
                <w:b/>
                <w:noProof/>
                <w:sz w:val="16"/>
                <w:szCs w:val="16"/>
                <w:lang w:val="en-GB"/>
              </w:rPr>
            </w:pPr>
            <w:r w:rsidRPr="00353FCF">
              <w:rPr>
                <w:rFonts w:ascii="Verdana" w:hAnsi="Verdana"/>
                <w:b/>
                <w:noProof/>
                <w:sz w:val="16"/>
                <w:szCs w:val="16"/>
                <w:lang w:val="en-GB"/>
              </w:rPr>
              <w:t>Operating results</w:t>
            </w:r>
          </w:p>
        </w:tc>
        <w:tc>
          <w:tcPr>
            <w:tcW w:w="1807" w:type="dxa"/>
            <w:gridSpan w:val="2"/>
            <w:tcBorders>
              <w:top w:val="nil"/>
              <w:left w:val="nil"/>
              <w:bottom w:val="nil"/>
              <w:right w:val="nil"/>
            </w:tcBorders>
            <w:shd w:val="clear" w:color="auto" w:fill="C0C0C0"/>
            <w:tcMar>
              <w:top w:w="15" w:type="dxa"/>
              <w:left w:w="15" w:type="dxa"/>
              <w:bottom w:w="0" w:type="dxa"/>
              <w:right w:w="15" w:type="dxa"/>
            </w:tcMar>
            <w:vAlign w:val="bottom"/>
          </w:tcPr>
          <w:p w:rsidR="001A0AD0" w:rsidRPr="00F92C4C" w:rsidRDefault="001A0AD0" w:rsidP="001A0AD0">
            <w:pPr>
              <w:jc w:val="right"/>
              <w:rPr>
                <w:rFonts w:ascii="Verdana" w:hAnsi="Verdana"/>
                <w:b/>
                <w:noProof/>
                <w:sz w:val="16"/>
                <w:szCs w:val="16"/>
              </w:rPr>
            </w:pPr>
            <w:r w:rsidRPr="00F92C4C">
              <w:rPr>
                <w:rFonts w:ascii="Verdana" w:hAnsi="Verdana"/>
                <w:b/>
                <w:noProof/>
                <w:sz w:val="16"/>
                <w:szCs w:val="16"/>
              </w:rPr>
              <w:t>2008</w:t>
            </w:r>
          </w:p>
        </w:tc>
        <w:tc>
          <w:tcPr>
            <w:tcW w:w="1807" w:type="dxa"/>
            <w:gridSpan w:val="2"/>
            <w:tcBorders>
              <w:top w:val="nil"/>
              <w:left w:val="nil"/>
              <w:bottom w:val="nil"/>
              <w:right w:val="nil"/>
            </w:tcBorders>
            <w:shd w:val="clear" w:color="auto" w:fill="C0C0C0"/>
            <w:noWrap/>
            <w:tcMar>
              <w:top w:w="15" w:type="dxa"/>
              <w:left w:w="15" w:type="dxa"/>
              <w:bottom w:w="0" w:type="dxa"/>
              <w:right w:w="15" w:type="dxa"/>
            </w:tcMar>
            <w:vAlign w:val="bottom"/>
          </w:tcPr>
          <w:p w:rsidR="001A0AD0" w:rsidRPr="00F92C4C" w:rsidRDefault="001A0AD0" w:rsidP="001A0AD0">
            <w:pPr>
              <w:jc w:val="right"/>
              <w:rPr>
                <w:rFonts w:ascii="Verdana" w:hAnsi="Verdana"/>
                <w:b/>
                <w:noProof/>
                <w:sz w:val="16"/>
                <w:szCs w:val="16"/>
              </w:rPr>
            </w:pPr>
            <w:r w:rsidRPr="00F92C4C">
              <w:rPr>
                <w:rFonts w:ascii="Verdana" w:hAnsi="Verdana"/>
                <w:b/>
                <w:noProof/>
                <w:sz w:val="16"/>
                <w:szCs w:val="16"/>
              </w:rPr>
              <w:t>2007</w:t>
            </w:r>
          </w:p>
        </w:tc>
        <w:tc>
          <w:tcPr>
            <w:tcW w:w="1453" w:type="dxa"/>
            <w:gridSpan w:val="2"/>
            <w:tcBorders>
              <w:top w:val="nil"/>
              <w:left w:val="nil"/>
              <w:bottom w:val="nil"/>
              <w:right w:val="nil"/>
            </w:tcBorders>
            <w:shd w:val="clear" w:color="auto" w:fill="C0C0C0"/>
            <w:noWrap/>
            <w:tcMar>
              <w:top w:w="15" w:type="dxa"/>
              <w:left w:w="15" w:type="dxa"/>
              <w:bottom w:w="0" w:type="dxa"/>
              <w:right w:w="15" w:type="dxa"/>
            </w:tcMar>
            <w:vAlign w:val="bottom"/>
          </w:tcPr>
          <w:p w:rsidR="001A0AD0" w:rsidRPr="00F92C4C" w:rsidRDefault="00E40DBA" w:rsidP="001A0AD0">
            <w:pPr>
              <w:jc w:val="right"/>
              <w:rPr>
                <w:rFonts w:ascii="Verdana" w:hAnsi="Verdana"/>
                <w:b/>
                <w:noProof/>
                <w:sz w:val="16"/>
                <w:szCs w:val="16"/>
              </w:rPr>
            </w:pPr>
            <w:r>
              <w:rPr>
                <w:rFonts w:ascii="Verdana" w:hAnsi="Verdana"/>
                <w:b/>
                <w:noProof/>
                <w:sz w:val="16"/>
                <w:szCs w:val="16"/>
              </w:rPr>
              <w:t>Change</w:t>
            </w:r>
            <w:r w:rsidR="001A0AD0" w:rsidRPr="00F92C4C">
              <w:rPr>
                <w:rFonts w:ascii="Verdana" w:hAnsi="Verdana"/>
                <w:b/>
                <w:noProof/>
                <w:sz w:val="16"/>
                <w:szCs w:val="16"/>
              </w:rPr>
              <w:t xml:space="preserve"> %</w:t>
            </w:r>
          </w:p>
        </w:tc>
        <w:tc>
          <w:tcPr>
            <w:tcW w:w="413" w:type="dxa"/>
            <w:gridSpan w:val="2"/>
            <w:tcBorders>
              <w:top w:val="nil"/>
              <w:left w:val="nil"/>
              <w:bottom w:val="nil"/>
              <w:right w:val="nil"/>
            </w:tcBorders>
            <w:shd w:val="clear" w:color="auto" w:fill="C0C0C0"/>
            <w:vAlign w:val="bottom"/>
          </w:tcPr>
          <w:p w:rsidR="001A0AD0" w:rsidRPr="00353FCF" w:rsidRDefault="001A0AD0" w:rsidP="001A0AD0">
            <w:pPr>
              <w:jc w:val="right"/>
              <w:rPr>
                <w:rFonts w:ascii="Verdana" w:hAnsi="Verdana"/>
                <w:b/>
                <w:noProof/>
                <w:sz w:val="16"/>
                <w:szCs w:val="16"/>
                <w:lang w:val="en-GB"/>
              </w:rPr>
            </w:pPr>
          </w:p>
        </w:tc>
      </w:tr>
      <w:tr w:rsidR="001A0AD0" w:rsidRPr="00353FCF" w:rsidTr="00D715D2">
        <w:trPr>
          <w:gridAfter w:val="1"/>
          <w:wAfter w:w="1324" w:type="dxa"/>
          <w:trHeight w:val="285"/>
        </w:trPr>
        <w:tc>
          <w:tcPr>
            <w:tcW w:w="2992" w:type="dxa"/>
            <w:gridSpan w:val="2"/>
            <w:tcBorders>
              <w:top w:val="nil"/>
              <w:left w:val="nil"/>
              <w:bottom w:val="nil"/>
              <w:right w:val="nil"/>
            </w:tcBorders>
            <w:noWrap/>
            <w:tcMar>
              <w:top w:w="0" w:type="dxa"/>
              <w:left w:w="15" w:type="dxa"/>
              <w:bottom w:w="0" w:type="dxa"/>
              <w:right w:w="15" w:type="dxa"/>
            </w:tcMar>
            <w:vAlign w:val="bottom"/>
          </w:tcPr>
          <w:p w:rsidR="001A0AD0" w:rsidRPr="00353FCF" w:rsidRDefault="001A0AD0" w:rsidP="001A0AD0">
            <w:pPr>
              <w:jc w:val="both"/>
              <w:rPr>
                <w:rFonts w:ascii="Verdana" w:hAnsi="Verdana"/>
                <w:noProof/>
                <w:sz w:val="16"/>
                <w:szCs w:val="16"/>
                <w:lang w:val="en-GB"/>
              </w:rPr>
            </w:pPr>
            <w:r w:rsidRPr="00353FCF">
              <w:rPr>
                <w:rFonts w:ascii="Verdana" w:hAnsi="Verdana"/>
                <w:noProof/>
                <w:sz w:val="16"/>
                <w:szCs w:val="16"/>
                <w:lang w:val="en-GB"/>
              </w:rPr>
              <w:t>Sales</w:t>
            </w:r>
          </w:p>
        </w:tc>
        <w:tc>
          <w:tcPr>
            <w:tcW w:w="1807" w:type="dxa"/>
            <w:gridSpan w:val="2"/>
            <w:tcBorders>
              <w:top w:val="nil"/>
              <w:left w:val="nil"/>
              <w:bottom w:val="nil"/>
              <w:right w:val="nil"/>
            </w:tcBorders>
            <w:tcMar>
              <w:top w:w="0" w:type="dxa"/>
              <w:left w:w="15" w:type="dxa"/>
              <w:bottom w:w="0" w:type="dxa"/>
              <w:right w:w="15" w:type="dxa"/>
            </w:tcMar>
            <w:vAlign w:val="bottom"/>
          </w:tcPr>
          <w:p w:rsidR="001A0AD0" w:rsidRPr="00B371D8" w:rsidRDefault="001A0AD0" w:rsidP="001A0AD0">
            <w:pPr>
              <w:jc w:val="right"/>
              <w:rPr>
                <w:rFonts w:ascii="Verdana" w:hAnsi="Verdana"/>
                <w:noProof/>
                <w:sz w:val="16"/>
                <w:szCs w:val="16"/>
              </w:rPr>
            </w:pPr>
            <w:r>
              <w:rPr>
                <w:rFonts w:ascii="Verdana" w:hAnsi="Verdana"/>
                <w:noProof/>
                <w:sz w:val="16"/>
                <w:szCs w:val="16"/>
              </w:rPr>
              <w:t>613,</w:t>
            </w:r>
            <w:r w:rsidRPr="00B371D8">
              <w:rPr>
                <w:rFonts w:ascii="Verdana" w:hAnsi="Verdana"/>
                <w:noProof/>
                <w:sz w:val="16"/>
                <w:szCs w:val="16"/>
              </w:rPr>
              <w:t xml:space="preserve">301 </w:t>
            </w:r>
          </w:p>
        </w:tc>
        <w:tc>
          <w:tcPr>
            <w:tcW w:w="1807" w:type="dxa"/>
            <w:gridSpan w:val="2"/>
            <w:tcBorders>
              <w:top w:val="nil"/>
              <w:left w:val="nil"/>
              <w:bottom w:val="nil"/>
              <w:right w:val="nil"/>
            </w:tcBorders>
            <w:noWrap/>
            <w:tcMar>
              <w:top w:w="0" w:type="dxa"/>
              <w:left w:w="15" w:type="dxa"/>
              <w:bottom w:w="0" w:type="dxa"/>
              <w:right w:w="15" w:type="dxa"/>
            </w:tcMar>
            <w:vAlign w:val="bottom"/>
          </w:tcPr>
          <w:p w:rsidR="001A0AD0" w:rsidRPr="00034C5D" w:rsidRDefault="001A0AD0" w:rsidP="001A0AD0">
            <w:pPr>
              <w:jc w:val="right"/>
              <w:rPr>
                <w:rFonts w:ascii="Verdana" w:hAnsi="Verdana"/>
                <w:noProof/>
                <w:sz w:val="16"/>
                <w:szCs w:val="16"/>
              </w:rPr>
            </w:pPr>
            <w:r w:rsidRPr="00034C5D">
              <w:rPr>
                <w:rFonts w:ascii="Verdana" w:hAnsi="Verdana"/>
                <w:noProof/>
                <w:sz w:val="16"/>
                <w:szCs w:val="16"/>
              </w:rPr>
              <w:t>587</w:t>
            </w:r>
            <w:r>
              <w:rPr>
                <w:rFonts w:ascii="Verdana" w:hAnsi="Verdana"/>
                <w:noProof/>
                <w:sz w:val="16"/>
                <w:szCs w:val="16"/>
              </w:rPr>
              <w:t>,</w:t>
            </w:r>
            <w:r w:rsidRPr="00034C5D">
              <w:rPr>
                <w:rFonts w:ascii="Verdana" w:hAnsi="Verdana"/>
                <w:noProof/>
                <w:sz w:val="16"/>
                <w:szCs w:val="16"/>
              </w:rPr>
              <w:t>668</w:t>
            </w:r>
          </w:p>
        </w:tc>
        <w:tc>
          <w:tcPr>
            <w:tcW w:w="1453" w:type="dxa"/>
            <w:gridSpan w:val="2"/>
            <w:tcBorders>
              <w:top w:val="nil"/>
              <w:left w:val="nil"/>
              <w:bottom w:val="nil"/>
              <w:right w:val="nil"/>
            </w:tcBorders>
            <w:noWrap/>
            <w:tcMar>
              <w:top w:w="0" w:type="dxa"/>
              <w:left w:w="15" w:type="dxa"/>
              <w:bottom w:w="0" w:type="dxa"/>
              <w:right w:w="15" w:type="dxa"/>
            </w:tcMar>
            <w:vAlign w:val="bottom"/>
          </w:tcPr>
          <w:p w:rsidR="001A0AD0" w:rsidRPr="00B371D8" w:rsidRDefault="001A0AD0" w:rsidP="001A0AD0">
            <w:pPr>
              <w:jc w:val="right"/>
              <w:rPr>
                <w:rFonts w:ascii="Verdana" w:hAnsi="Verdana"/>
                <w:noProof/>
                <w:sz w:val="16"/>
                <w:szCs w:val="16"/>
              </w:rPr>
            </w:pPr>
            <w:r w:rsidRPr="00B371D8">
              <w:rPr>
                <w:rFonts w:ascii="Verdana" w:hAnsi="Verdana"/>
                <w:noProof/>
                <w:sz w:val="16"/>
                <w:szCs w:val="16"/>
              </w:rPr>
              <w:t>4</w:t>
            </w:r>
            <w:r>
              <w:rPr>
                <w:rFonts w:ascii="Verdana" w:hAnsi="Verdana"/>
                <w:noProof/>
                <w:sz w:val="16"/>
                <w:szCs w:val="16"/>
              </w:rPr>
              <w:t>.</w:t>
            </w:r>
            <w:r w:rsidRPr="00B371D8">
              <w:rPr>
                <w:rFonts w:ascii="Verdana" w:hAnsi="Verdana"/>
                <w:noProof/>
                <w:sz w:val="16"/>
                <w:szCs w:val="16"/>
              </w:rPr>
              <w:t>4%</w:t>
            </w:r>
          </w:p>
        </w:tc>
        <w:tc>
          <w:tcPr>
            <w:tcW w:w="413" w:type="dxa"/>
            <w:gridSpan w:val="2"/>
            <w:tcBorders>
              <w:top w:val="nil"/>
              <w:left w:val="nil"/>
              <w:bottom w:val="nil"/>
              <w:right w:val="nil"/>
            </w:tcBorders>
            <w:vAlign w:val="bottom"/>
          </w:tcPr>
          <w:p w:rsidR="001A0AD0" w:rsidRPr="00B371D8" w:rsidRDefault="001A0AD0" w:rsidP="001A0AD0">
            <w:pPr>
              <w:jc w:val="right"/>
              <w:rPr>
                <w:rFonts w:ascii="Verdana" w:hAnsi="Verdana"/>
                <w:noProof/>
                <w:sz w:val="16"/>
                <w:szCs w:val="16"/>
              </w:rPr>
            </w:pPr>
          </w:p>
        </w:tc>
      </w:tr>
      <w:tr w:rsidR="001A0AD0" w:rsidRPr="00353FCF" w:rsidTr="00D715D2">
        <w:trPr>
          <w:gridAfter w:val="1"/>
          <w:wAfter w:w="1324" w:type="dxa"/>
          <w:trHeight w:val="255"/>
        </w:trPr>
        <w:tc>
          <w:tcPr>
            <w:tcW w:w="2992" w:type="dxa"/>
            <w:gridSpan w:val="2"/>
            <w:tcBorders>
              <w:top w:val="nil"/>
              <w:left w:val="nil"/>
              <w:bottom w:val="nil"/>
              <w:right w:val="nil"/>
            </w:tcBorders>
            <w:noWrap/>
            <w:tcMar>
              <w:top w:w="0" w:type="dxa"/>
              <w:left w:w="15" w:type="dxa"/>
              <w:bottom w:w="0" w:type="dxa"/>
              <w:right w:w="15" w:type="dxa"/>
            </w:tcMar>
            <w:vAlign w:val="bottom"/>
          </w:tcPr>
          <w:p w:rsidR="001A0AD0" w:rsidRPr="00353FCF" w:rsidRDefault="001A0AD0" w:rsidP="001A0AD0">
            <w:pPr>
              <w:jc w:val="both"/>
              <w:rPr>
                <w:rFonts w:ascii="Verdana" w:hAnsi="Verdana"/>
                <w:noProof/>
                <w:sz w:val="16"/>
                <w:szCs w:val="16"/>
                <w:lang w:val="en-GB"/>
              </w:rPr>
            </w:pPr>
            <w:r w:rsidRPr="00353FCF">
              <w:rPr>
                <w:rFonts w:ascii="Verdana" w:hAnsi="Verdana"/>
                <w:noProof/>
                <w:sz w:val="16"/>
                <w:szCs w:val="16"/>
                <w:lang w:val="en-GB"/>
              </w:rPr>
              <w:t>Cost of goods sold</w:t>
            </w:r>
          </w:p>
        </w:tc>
        <w:tc>
          <w:tcPr>
            <w:tcW w:w="1807" w:type="dxa"/>
            <w:gridSpan w:val="2"/>
            <w:tcBorders>
              <w:top w:val="nil"/>
              <w:left w:val="nil"/>
              <w:bottom w:val="nil"/>
              <w:right w:val="nil"/>
            </w:tcBorders>
            <w:tcMar>
              <w:top w:w="0" w:type="dxa"/>
              <w:left w:w="15" w:type="dxa"/>
              <w:bottom w:w="0" w:type="dxa"/>
              <w:right w:w="15" w:type="dxa"/>
            </w:tcMar>
            <w:vAlign w:val="bottom"/>
          </w:tcPr>
          <w:p w:rsidR="001A0AD0" w:rsidRPr="00B371D8" w:rsidRDefault="001A0AD0" w:rsidP="001A0AD0">
            <w:pPr>
              <w:jc w:val="right"/>
              <w:rPr>
                <w:rFonts w:ascii="Verdana" w:hAnsi="Verdana"/>
                <w:noProof/>
                <w:sz w:val="16"/>
                <w:szCs w:val="16"/>
              </w:rPr>
            </w:pPr>
            <w:r w:rsidRPr="00B371D8">
              <w:rPr>
                <w:rFonts w:ascii="Verdana" w:hAnsi="Verdana"/>
                <w:noProof/>
                <w:sz w:val="16"/>
                <w:szCs w:val="16"/>
              </w:rPr>
              <w:t>(391</w:t>
            </w:r>
            <w:r>
              <w:rPr>
                <w:rFonts w:ascii="Verdana" w:hAnsi="Verdana"/>
                <w:noProof/>
                <w:sz w:val="16"/>
                <w:szCs w:val="16"/>
              </w:rPr>
              <w:t>,</w:t>
            </w:r>
            <w:r w:rsidRPr="00B371D8">
              <w:rPr>
                <w:rFonts w:ascii="Verdana" w:hAnsi="Verdana"/>
                <w:noProof/>
                <w:sz w:val="16"/>
                <w:szCs w:val="16"/>
              </w:rPr>
              <w:t>196)</w:t>
            </w:r>
          </w:p>
        </w:tc>
        <w:tc>
          <w:tcPr>
            <w:tcW w:w="1807" w:type="dxa"/>
            <w:gridSpan w:val="2"/>
            <w:tcBorders>
              <w:top w:val="nil"/>
              <w:left w:val="nil"/>
              <w:bottom w:val="nil"/>
              <w:right w:val="nil"/>
            </w:tcBorders>
            <w:noWrap/>
            <w:tcMar>
              <w:top w:w="0" w:type="dxa"/>
              <w:left w:w="15" w:type="dxa"/>
              <w:bottom w:w="0" w:type="dxa"/>
              <w:right w:w="15" w:type="dxa"/>
            </w:tcMar>
            <w:vAlign w:val="bottom"/>
          </w:tcPr>
          <w:p w:rsidR="001A0AD0" w:rsidRPr="00034C5D" w:rsidRDefault="001A0AD0" w:rsidP="001A0AD0">
            <w:pPr>
              <w:jc w:val="right"/>
              <w:rPr>
                <w:rFonts w:ascii="Verdana" w:hAnsi="Verdana"/>
                <w:noProof/>
                <w:sz w:val="16"/>
                <w:szCs w:val="16"/>
              </w:rPr>
            </w:pPr>
            <w:r w:rsidRPr="00034C5D">
              <w:rPr>
                <w:rFonts w:ascii="Verdana" w:hAnsi="Verdana"/>
                <w:noProof/>
                <w:sz w:val="16"/>
                <w:szCs w:val="16"/>
              </w:rPr>
              <w:t>(377</w:t>
            </w:r>
            <w:r>
              <w:rPr>
                <w:rFonts w:ascii="Verdana" w:hAnsi="Verdana"/>
                <w:noProof/>
                <w:sz w:val="16"/>
                <w:szCs w:val="16"/>
              </w:rPr>
              <w:t>,</w:t>
            </w:r>
            <w:r w:rsidRPr="00034C5D">
              <w:rPr>
                <w:rFonts w:ascii="Verdana" w:hAnsi="Verdana"/>
                <w:noProof/>
                <w:sz w:val="16"/>
                <w:szCs w:val="16"/>
              </w:rPr>
              <w:t>945)</w:t>
            </w:r>
          </w:p>
        </w:tc>
        <w:tc>
          <w:tcPr>
            <w:tcW w:w="1453" w:type="dxa"/>
            <w:gridSpan w:val="2"/>
            <w:tcBorders>
              <w:top w:val="nil"/>
              <w:left w:val="nil"/>
              <w:bottom w:val="nil"/>
              <w:right w:val="nil"/>
            </w:tcBorders>
            <w:noWrap/>
            <w:tcMar>
              <w:top w:w="0" w:type="dxa"/>
              <w:left w:w="15" w:type="dxa"/>
              <w:bottom w:w="0" w:type="dxa"/>
              <w:right w:w="15" w:type="dxa"/>
            </w:tcMar>
            <w:vAlign w:val="bottom"/>
          </w:tcPr>
          <w:p w:rsidR="001A0AD0" w:rsidRPr="00B371D8" w:rsidRDefault="001A0AD0" w:rsidP="001A0AD0">
            <w:pPr>
              <w:jc w:val="right"/>
              <w:rPr>
                <w:rFonts w:ascii="Verdana" w:hAnsi="Verdana"/>
                <w:noProof/>
                <w:sz w:val="16"/>
                <w:szCs w:val="16"/>
              </w:rPr>
            </w:pPr>
            <w:r w:rsidRPr="00B371D8">
              <w:rPr>
                <w:rFonts w:ascii="Verdana" w:hAnsi="Verdana"/>
                <w:noProof/>
                <w:sz w:val="16"/>
                <w:szCs w:val="16"/>
              </w:rPr>
              <w:t>3</w:t>
            </w:r>
            <w:r>
              <w:rPr>
                <w:rFonts w:ascii="Verdana" w:hAnsi="Verdana"/>
                <w:noProof/>
                <w:sz w:val="16"/>
                <w:szCs w:val="16"/>
              </w:rPr>
              <w:t>.</w:t>
            </w:r>
            <w:r w:rsidRPr="00B371D8">
              <w:rPr>
                <w:rFonts w:ascii="Verdana" w:hAnsi="Verdana"/>
                <w:noProof/>
                <w:sz w:val="16"/>
                <w:szCs w:val="16"/>
              </w:rPr>
              <w:t>5%</w:t>
            </w:r>
          </w:p>
        </w:tc>
        <w:tc>
          <w:tcPr>
            <w:tcW w:w="413" w:type="dxa"/>
            <w:gridSpan w:val="2"/>
            <w:tcBorders>
              <w:top w:val="nil"/>
              <w:left w:val="nil"/>
              <w:bottom w:val="nil"/>
              <w:right w:val="nil"/>
            </w:tcBorders>
            <w:vAlign w:val="bottom"/>
          </w:tcPr>
          <w:p w:rsidR="001A0AD0" w:rsidRPr="00B371D8" w:rsidRDefault="001A0AD0" w:rsidP="001A0AD0">
            <w:pPr>
              <w:jc w:val="right"/>
              <w:rPr>
                <w:rFonts w:ascii="Verdana" w:hAnsi="Verdana"/>
                <w:noProof/>
                <w:sz w:val="16"/>
                <w:szCs w:val="16"/>
              </w:rPr>
            </w:pPr>
          </w:p>
        </w:tc>
      </w:tr>
      <w:tr w:rsidR="001A0AD0" w:rsidRPr="00353FCF" w:rsidTr="00D715D2">
        <w:trPr>
          <w:gridAfter w:val="1"/>
          <w:wAfter w:w="1324" w:type="dxa"/>
          <w:trHeight w:val="255"/>
        </w:trPr>
        <w:tc>
          <w:tcPr>
            <w:tcW w:w="2992" w:type="dxa"/>
            <w:gridSpan w:val="2"/>
            <w:tcBorders>
              <w:top w:val="nil"/>
              <w:left w:val="nil"/>
              <w:bottom w:val="nil"/>
              <w:right w:val="nil"/>
            </w:tcBorders>
            <w:noWrap/>
            <w:tcMar>
              <w:top w:w="0" w:type="dxa"/>
              <w:left w:w="15" w:type="dxa"/>
              <w:bottom w:w="0" w:type="dxa"/>
              <w:right w:w="15" w:type="dxa"/>
            </w:tcMar>
            <w:vAlign w:val="bottom"/>
          </w:tcPr>
          <w:p w:rsidR="001A0AD0" w:rsidRPr="00353FCF" w:rsidRDefault="001A0AD0" w:rsidP="001A0AD0">
            <w:pPr>
              <w:jc w:val="both"/>
              <w:rPr>
                <w:rFonts w:ascii="Verdana" w:hAnsi="Verdana"/>
                <w:noProof/>
                <w:sz w:val="16"/>
                <w:szCs w:val="16"/>
                <w:lang w:val="en-GB"/>
              </w:rPr>
            </w:pPr>
            <w:r w:rsidRPr="00353FCF">
              <w:rPr>
                <w:rFonts w:ascii="Verdana" w:hAnsi="Verdana"/>
                <w:noProof/>
                <w:sz w:val="16"/>
                <w:szCs w:val="16"/>
                <w:lang w:val="en-GB"/>
              </w:rPr>
              <w:t>Gross profit</w:t>
            </w:r>
          </w:p>
        </w:tc>
        <w:tc>
          <w:tcPr>
            <w:tcW w:w="1807" w:type="dxa"/>
            <w:gridSpan w:val="2"/>
            <w:tcBorders>
              <w:top w:val="nil"/>
              <w:left w:val="nil"/>
              <w:bottom w:val="nil"/>
              <w:right w:val="nil"/>
            </w:tcBorders>
            <w:tcMar>
              <w:top w:w="0" w:type="dxa"/>
              <w:left w:w="15" w:type="dxa"/>
              <w:bottom w:w="0" w:type="dxa"/>
              <w:right w:w="15" w:type="dxa"/>
            </w:tcMar>
            <w:vAlign w:val="bottom"/>
          </w:tcPr>
          <w:p w:rsidR="001A0AD0" w:rsidRPr="00B371D8" w:rsidRDefault="001A0AD0" w:rsidP="001A0AD0">
            <w:pPr>
              <w:jc w:val="right"/>
              <w:rPr>
                <w:rFonts w:ascii="Verdana" w:hAnsi="Verdana"/>
                <w:noProof/>
                <w:sz w:val="16"/>
                <w:szCs w:val="16"/>
              </w:rPr>
            </w:pPr>
            <w:r w:rsidRPr="00B371D8">
              <w:rPr>
                <w:rFonts w:ascii="Verdana" w:hAnsi="Verdana"/>
                <w:noProof/>
                <w:sz w:val="16"/>
                <w:szCs w:val="16"/>
              </w:rPr>
              <w:t>222</w:t>
            </w:r>
            <w:r>
              <w:rPr>
                <w:rFonts w:ascii="Verdana" w:hAnsi="Verdana"/>
                <w:noProof/>
                <w:sz w:val="16"/>
                <w:szCs w:val="16"/>
              </w:rPr>
              <w:t>,</w:t>
            </w:r>
            <w:r w:rsidRPr="00B371D8">
              <w:rPr>
                <w:rFonts w:ascii="Verdana" w:hAnsi="Verdana"/>
                <w:noProof/>
                <w:sz w:val="16"/>
                <w:szCs w:val="16"/>
              </w:rPr>
              <w:t>105</w:t>
            </w:r>
          </w:p>
        </w:tc>
        <w:tc>
          <w:tcPr>
            <w:tcW w:w="1807" w:type="dxa"/>
            <w:gridSpan w:val="2"/>
            <w:tcBorders>
              <w:top w:val="nil"/>
              <w:left w:val="nil"/>
              <w:bottom w:val="nil"/>
              <w:right w:val="nil"/>
            </w:tcBorders>
            <w:noWrap/>
            <w:tcMar>
              <w:top w:w="0" w:type="dxa"/>
              <w:left w:w="15" w:type="dxa"/>
              <w:bottom w:w="0" w:type="dxa"/>
              <w:right w:w="15" w:type="dxa"/>
            </w:tcMar>
            <w:vAlign w:val="bottom"/>
          </w:tcPr>
          <w:p w:rsidR="001A0AD0" w:rsidRPr="00034C5D" w:rsidRDefault="001A0AD0" w:rsidP="001A0AD0">
            <w:pPr>
              <w:jc w:val="right"/>
              <w:rPr>
                <w:rFonts w:ascii="Verdana" w:hAnsi="Verdana"/>
                <w:noProof/>
                <w:sz w:val="16"/>
                <w:szCs w:val="16"/>
              </w:rPr>
            </w:pPr>
            <w:r w:rsidRPr="00034C5D">
              <w:rPr>
                <w:rFonts w:ascii="Verdana" w:hAnsi="Verdana"/>
                <w:noProof/>
                <w:sz w:val="16"/>
                <w:szCs w:val="16"/>
              </w:rPr>
              <w:t>209</w:t>
            </w:r>
            <w:r>
              <w:rPr>
                <w:rFonts w:ascii="Verdana" w:hAnsi="Verdana"/>
                <w:noProof/>
                <w:sz w:val="16"/>
                <w:szCs w:val="16"/>
              </w:rPr>
              <w:t>,</w:t>
            </w:r>
            <w:r w:rsidRPr="00034C5D">
              <w:rPr>
                <w:rFonts w:ascii="Verdana" w:hAnsi="Verdana"/>
                <w:noProof/>
                <w:sz w:val="16"/>
                <w:szCs w:val="16"/>
              </w:rPr>
              <w:t>723</w:t>
            </w:r>
          </w:p>
        </w:tc>
        <w:tc>
          <w:tcPr>
            <w:tcW w:w="1453" w:type="dxa"/>
            <w:gridSpan w:val="2"/>
            <w:tcBorders>
              <w:top w:val="nil"/>
              <w:left w:val="nil"/>
              <w:bottom w:val="nil"/>
              <w:right w:val="nil"/>
            </w:tcBorders>
            <w:noWrap/>
            <w:tcMar>
              <w:top w:w="0" w:type="dxa"/>
              <w:left w:w="15" w:type="dxa"/>
              <w:bottom w:w="0" w:type="dxa"/>
              <w:right w:w="15" w:type="dxa"/>
            </w:tcMar>
            <w:vAlign w:val="bottom"/>
          </w:tcPr>
          <w:p w:rsidR="001A0AD0" w:rsidRPr="00B371D8" w:rsidRDefault="001A0AD0" w:rsidP="001A0AD0">
            <w:pPr>
              <w:jc w:val="right"/>
              <w:rPr>
                <w:rFonts w:ascii="Verdana" w:hAnsi="Verdana"/>
                <w:noProof/>
                <w:sz w:val="16"/>
                <w:szCs w:val="16"/>
              </w:rPr>
            </w:pPr>
            <w:r w:rsidRPr="00B371D8">
              <w:rPr>
                <w:rFonts w:ascii="Verdana" w:hAnsi="Verdana"/>
                <w:noProof/>
                <w:sz w:val="16"/>
                <w:szCs w:val="16"/>
              </w:rPr>
              <w:t>5</w:t>
            </w:r>
            <w:r>
              <w:rPr>
                <w:rFonts w:ascii="Verdana" w:hAnsi="Verdana"/>
                <w:noProof/>
                <w:sz w:val="16"/>
                <w:szCs w:val="16"/>
              </w:rPr>
              <w:t>.</w:t>
            </w:r>
            <w:r w:rsidRPr="00B371D8">
              <w:rPr>
                <w:rFonts w:ascii="Verdana" w:hAnsi="Verdana"/>
                <w:noProof/>
                <w:sz w:val="16"/>
                <w:szCs w:val="16"/>
              </w:rPr>
              <w:t>9%</w:t>
            </w:r>
          </w:p>
        </w:tc>
        <w:tc>
          <w:tcPr>
            <w:tcW w:w="413" w:type="dxa"/>
            <w:gridSpan w:val="2"/>
            <w:tcBorders>
              <w:top w:val="nil"/>
              <w:left w:val="nil"/>
              <w:bottom w:val="nil"/>
              <w:right w:val="nil"/>
            </w:tcBorders>
            <w:vAlign w:val="bottom"/>
          </w:tcPr>
          <w:p w:rsidR="001A0AD0" w:rsidRPr="00B371D8" w:rsidRDefault="001A0AD0" w:rsidP="001A0AD0">
            <w:pPr>
              <w:jc w:val="right"/>
              <w:rPr>
                <w:rFonts w:ascii="Verdana" w:hAnsi="Verdana"/>
                <w:noProof/>
                <w:sz w:val="16"/>
                <w:szCs w:val="16"/>
              </w:rPr>
            </w:pPr>
          </w:p>
        </w:tc>
      </w:tr>
      <w:tr w:rsidR="001A0AD0" w:rsidRPr="00353FCF" w:rsidTr="00D715D2">
        <w:trPr>
          <w:gridAfter w:val="1"/>
          <w:wAfter w:w="1324" w:type="dxa"/>
          <w:trHeight w:val="285"/>
        </w:trPr>
        <w:tc>
          <w:tcPr>
            <w:tcW w:w="2992" w:type="dxa"/>
            <w:gridSpan w:val="2"/>
            <w:tcBorders>
              <w:top w:val="nil"/>
              <w:left w:val="nil"/>
              <w:bottom w:val="nil"/>
              <w:right w:val="nil"/>
            </w:tcBorders>
            <w:noWrap/>
            <w:tcMar>
              <w:top w:w="0" w:type="dxa"/>
              <w:left w:w="15" w:type="dxa"/>
              <w:bottom w:w="0" w:type="dxa"/>
              <w:right w:w="15" w:type="dxa"/>
            </w:tcMar>
            <w:vAlign w:val="bottom"/>
          </w:tcPr>
          <w:p w:rsidR="001A0AD0" w:rsidRPr="00353FCF" w:rsidRDefault="001A0AD0" w:rsidP="001A0AD0">
            <w:pPr>
              <w:jc w:val="both"/>
              <w:rPr>
                <w:rFonts w:ascii="Verdana" w:hAnsi="Verdana"/>
                <w:noProof/>
                <w:sz w:val="16"/>
                <w:szCs w:val="16"/>
                <w:lang w:val="en-GB"/>
              </w:rPr>
            </w:pPr>
          </w:p>
        </w:tc>
        <w:tc>
          <w:tcPr>
            <w:tcW w:w="1807" w:type="dxa"/>
            <w:gridSpan w:val="2"/>
            <w:tcBorders>
              <w:top w:val="nil"/>
              <w:left w:val="nil"/>
              <w:bottom w:val="nil"/>
              <w:right w:val="nil"/>
            </w:tcBorders>
            <w:tcMar>
              <w:top w:w="0" w:type="dxa"/>
              <w:left w:w="15" w:type="dxa"/>
              <w:bottom w:w="0" w:type="dxa"/>
              <w:right w:w="15" w:type="dxa"/>
            </w:tcMar>
            <w:vAlign w:val="bottom"/>
          </w:tcPr>
          <w:p w:rsidR="001A0AD0" w:rsidRPr="00B371D8" w:rsidRDefault="001A0AD0" w:rsidP="001A0AD0">
            <w:pPr>
              <w:jc w:val="right"/>
              <w:rPr>
                <w:rFonts w:ascii="Verdana" w:hAnsi="Verdana"/>
                <w:noProof/>
                <w:sz w:val="16"/>
                <w:szCs w:val="16"/>
              </w:rPr>
            </w:pPr>
          </w:p>
        </w:tc>
        <w:tc>
          <w:tcPr>
            <w:tcW w:w="1807" w:type="dxa"/>
            <w:gridSpan w:val="2"/>
            <w:tcBorders>
              <w:top w:val="nil"/>
              <w:left w:val="nil"/>
              <w:bottom w:val="nil"/>
              <w:right w:val="nil"/>
            </w:tcBorders>
            <w:noWrap/>
            <w:tcMar>
              <w:top w:w="0" w:type="dxa"/>
              <w:left w:w="15" w:type="dxa"/>
              <w:bottom w:w="0" w:type="dxa"/>
              <w:right w:w="15" w:type="dxa"/>
            </w:tcMar>
            <w:vAlign w:val="bottom"/>
          </w:tcPr>
          <w:p w:rsidR="001A0AD0" w:rsidRPr="00034C5D" w:rsidRDefault="001A0AD0" w:rsidP="001A0AD0">
            <w:pPr>
              <w:jc w:val="right"/>
              <w:rPr>
                <w:rFonts w:ascii="Verdana" w:hAnsi="Verdana"/>
                <w:noProof/>
                <w:sz w:val="16"/>
                <w:szCs w:val="16"/>
              </w:rPr>
            </w:pPr>
          </w:p>
        </w:tc>
        <w:tc>
          <w:tcPr>
            <w:tcW w:w="1453" w:type="dxa"/>
            <w:gridSpan w:val="2"/>
            <w:tcBorders>
              <w:top w:val="nil"/>
              <w:left w:val="nil"/>
              <w:bottom w:val="nil"/>
              <w:right w:val="nil"/>
            </w:tcBorders>
            <w:noWrap/>
            <w:tcMar>
              <w:top w:w="0" w:type="dxa"/>
              <w:left w:w="15" w:type="dxa"/>
              <w:bottom w:w="0" w:type="dxa"/>
              <w:right w:w="15" w:type="dxa"/>
            </w:tcMar>
            <w:vAlign w:val="bottom"/>
          </w:tcPr>
          <w:p w:rsidR="001A0AD0" w:rsidRPr="00F92C4C" w:rsidRDefault="001A0AD0" w:rsidP="001A0AD0">
            <w:pPr>
              <w:jc w:val="right"/>
              <w:rPr>
                <w:rFonts w:ascii="Verdana" w:hAnsi="Verdana"/>
                <w:noProof/>
                <w:sz w:val="16"/>
                <w:szCs w:val="16"/>
              </w:rPr>
            </w:pPr>
          </w:p>
        </w:tc>
        <w:tc>
          <w:tcPr>
            <w:tcW w:w="413" w:type="dxa"/>
            <w:gridSpan w:val="2"/>
            <w:tcBorders>
              <w:top w:val="nil"/>
              <w:left w:val="nil"/>
              <w:bottom w:val="nil"/>
              <w:right w:val="nil"/>
            </w:tcBorders>
            <w:vAlign w:val="bottom"/>
          </w:tcPr>
          <w:p w:rsidR="001A0AD0" w:rsidRPr="00B371D8" w:rsidRDefault="001A0AD0" w:rsidP="001A0AD0">
            <w:pPr>
              <w:jc w:val="right"/>
              <w:rPr>
                <w:rFonts w:ascii="Verdana" w:hAnsi="Verdana"/>
                <w:noProof/>
                <w:sz w:val="16"/>
                <w:szCs w:val="16"/>
              </w:rPr>
            </w:pPr>
          </w:p>
        </w:tc>
      </w:tr>
      <w:tr w:rsidR="001A0AD0" w:rsidRPr="00353FCF" w:rsidTr="00D715D2">
        <w:trPr>
          <w:gridAfter w:val="1"/>
          <w:wAfter w:w="1324" w:type="dxa"/>
          <w:trHeight w:val="285"/>
        </w:trPr>
        <w:tc>
          <w:tcPr>
            <w:tcW w:w="2992" w:type="dxa"/>
            <w:gridSpan w:val="2"/>
            <w:tcBorders>
              <w:top w:val="nil"/>
              <w:left w:val="nil"/>
              <w:bottom w:val="nil"/>
              <w:right w:val="nil"/>
            </w:tcBorders>
            <w:noWrap/>
            <w:tcMar>
              <w:top w:w="0" w:type="dxa"/>
              <w:left w:w="15" w:type="dxa"/>
              <w:bottom w:w="0" w:type="dxa"/>
              <w:right w:w="15" w:type="dxa"/>
            </w:tcMar>
            <w:vAlign w:val="bottom"/>
          </w:tcPr>
          <w:p w:rsidR="001A0AD0" w:rsidRPr="00353FCF" w:rsidRDefault="001A0AD0" w:rsidP="001A0AD0">
            <w:pPr>
              <w:jc w:val="both"/>
              <w:rPr>
                <w:rFonts w:ascii="Verdana" w:hAnsi="Verdana"/>
                <w:noProof/>
                <w:sz w:val="16"/>
                <w:szCs w:val="16"/>
                <w:lang w:val="en-GB"/>
              </w:rPr>
            </w:pPr>
            <w:r w:rsidRPr="00353FCF">
              <w:rPr>
                <w:rFonts w:ascii="Verdana" w:hAnsi="Verdana"/>
                <w:noProof/>
                <w:sz w:val="16"/>
                <w:szCs w:val="16"/>
                <w:lang w:val="en-GB"/>
              </w:rPr>
              <w:t>Other operating income</w:t>
            </w:r>
          </w:p>
        </w:tc>
        <w:tc>
          <w:tcPr>
            <w:tcW w:w="1807" w:type="dxa"/>
            <w:gridSpan w:val="2"/>
            <w:tcBorders>
              <w:top w:val="nil"/>
              <w:left w:val="nil"/>
              <w:bottom w:val="nil"/>
              <w:right w:val="nil"/>
            </w:tcBorders>
            <w:tcMar>
              <w:top w:w="0" w:type="dxa"/>
              <w:left w:w="15" w:type="dxa"/>
              <w:bottom w:w="0" w:type="dxa"/>
              <w:right w:w="15" w:type="dxa"/>
            </w:tcMar>
            <w:vAlign w:val="bottom"/>
          </w:tcPr>
          <w:p w:rsidR="001A0AD0" w:rsidRPr="00B371D8" w:rsidRDefault="001A0AD0" w:rsidP="001A0AD0">
            <w:pPr>
              <w:jc w:val="right"/>
              <w:rPr>
                <w:rFonts w:ascii="Verdana" w:hAnsi="Verdana"/>
                <w:noProof/>
                <w:sz w:val="16"/>
                <w:szCs w:val="16"/>
              </w:rPr>
            </w:pPr>
            <w:r w:rsidRPr="00B371D8">
              <w:rPr>
                <w:rFonts w:ascii="Verdana" w:hAnsi="Verdana"/>
                <w:noProof/>
                <w:sz w:val="16"/>
                <w:szCs w:val="16"/>
              </w:rPr>
              <w:t>716</w:t>
            </w:r>
          </w:p>
        </w:tc>
        <w:tc>
          <w:tcPr>
            <w:tcW w:w="1807" w:type="dxa"/>
            <w:gridSpan w:val="2"/>
            <w:tcBorders>
              <w:top w:val="nil"/>
              <w:left w:val="nil"/>
              <w:bottom w:val="nil"/>
              <w:right w:val="nil"/>
            </w:tcBorders>
            <w:noWrap/>
            <w:tcMar>
              <w:top w:w="0" w:type="dxa"/>
              <w:left w:w="15" w:type="dxa"/>
              <w:bottom w:w="0" w:type="dxa"/>
              <w:right w:w="15" w:type="dxa"/>
            </w:tcMar>
            <w:vAlign w:val="bottom"/>
          </w:tcPr>
          <w:p w:rsidR="001A0AD0" w:rsidRPr="00034C5D" w:rsidRDefault="001A0AD0" w:rsidP="001A0AD0">
            <w:pPr>
              <w:jc w:val="right"/>
              <w:rPr>
                <w:rFonts w:ascii="Verdana" w:hAnsi="Verdana"/>
                <w:noProof/>
                <w:sz w:val="16"/>
                <w:szCs w:val="16"/>
              </w:rPr>
            </w:pPr>
            <w:r w:rsidRPr="00034C5D">
              <w:rPr>
                <w:rFonts w:ascii="Verdana" w:hAnsi="Verdana"/>
                <w:noProof/>
                <w:sz w:val="16"/>
                <w:szCs w:val="16"/>
              </w:rPr>
              <w:t>1</w:t>
            </w:r>
            <w:r>
              <w:rPr>
                <w:rFonts w:ascii="Verdana" w:hAnsi="Verdana"/>
                <w:noProof/>
                <w:sz w:val="16"/>
                <w:szCs w:val="16"/>
              </w:rPr>
              <w:t>,</w:t>
            </w:r>
            <w:r w:rsidRPr="00034C5D">
              <w:rPr>
                <w:rFonts w:ascii="Verdana" w:hAnsi="Verdana"/>
                <w:noProof/>
                <w:sz w:val="16"/>
                <w:szCs w:val="16"/>
              </w:rPr>
              <w:t>203</w:t>
            </w:r>
          </w:p>
        </w:tc>
        <w:tc>
          <w:tcPr>
            <w:tcW w:w="1453" w:type="dxa"/>
            <w:gridSpan w:val="2"/>
            <w:tcBorders>
              <w:top w:val="nil"/>
              <w:left w:val="nil"/>
              <w:bottom w:val="nil"/>
              <w:right w:val="nil"/>
            </w:tcBorders>
            <w:noWrap/>
            <w:tcMar>
              <w:top w:w="0" w:type="dxa"/>
              <w:left w:w="15" w:type="dxa"/>
              <w:bottom w:w="0" w:type="dxa"/>
              <w:right w:w="15" w:type="dxa"/>
            </w:tcMar>
            <w:vAlign w:val="bottom"/>
          </w:tcPr>
          <w:p w:rsidR="001A0AD0" w:rsidRPr="00F92C4C" w:rsidRDefault="001A0AD0" w:rsidP="001A0AD0">
            <w:pPr>
              <w:jc w:val="right"/>
              <w:rPr>
                <w:rFonts w:ascii="Verdana" w:hAnsi="Verdana"/>
                <w:noProof/>
                <w:sz w:val="16"/>
                <w:szCs w:val="16"/>
              </w:rPr>
            </w:pPr>
          </w:p>
        </w:tc>
        <w:tc>
          <w:tcPr>
            <w:tcW w:w="413" w:type="dxa"/>
            <w:gridSpan w:val="2"/>
            <w:tcBorders>
              <w:top w:val="nil"/>
              <w:left w:val="nil"/>
              <w:bottom w:val="nil"/>
              <w:right w:val="nil"/>
            </w:tcBorders>
            <w:vAlign w:val="bottom"/>
          </w:tcPr>
          <w:p w:rsidR="001A0AD0" w:rsidRPr="00B371D8" w:rsidRDefault="001A0AD0" w:rsidP="001A0AD0">
            <w:pPr>
              <w:jc w:val="right"/>
              <w:rPr>
                <w:rFonts w:ascii="Verdana" w:hAnsi="Verdana"/>
                <w:noProof/>
                <w:sz w:val="16"/>
                <w:szCs w:val="16"/>
              </w:rPr>
            </w:pPr>
          </w:p>
        </w:tc>
      </w:tr>
      <w:tr w:rsidR="001A0AD0" w:rsidRPr="00353FCF" w:rsidTr="00D715D2">
        <w:trPr>
          <w:gridAfter w:val="1"/>
          <w:wAfter w:w="1324" w:type="dxa"/>
          <w:trHeight w:val="285"/>
        </w:trPr>
        <w:tc>
          <w:tcPr>
            <w:tcW w:w="2992" w:type="dxa"/>
            <w:gridSpan w:val="2"/>
            <w:tcBorders>
              <w:top w:val="nil"/>
              <w:left w:val="nil"/>
              <w:bottom w:val="nil"/>
              <w:right w:val="nil"/>
            </w:tcBorders>
            <w:noWrap/>
            <w:tcMar>
              <w:top w:w="0" w:type="dxa"/>
              <w:left w:w="15" w:type="dxa"/>
              <w:bottom w:w="0" w:type="dxa"/>
              <w:right w:w="15" w:type="dxa"/>
            </w:tcMar>
            <w:vAlign w:val="bottom"/>
          </w:tcPr>
          <w:p w:rsidR="001A0AD0" w:rsidRPr="00353FCF" w:rsidRDefault="001A0AD0" w:rsidP="001A0AD0">
            <w:pPr>
              <w:jc w:val="both"/>
              <w:rPr>
                <w:rFonts w:ascii="Verdana" w:hAnsi="Verdana"/>
                <w:noProof/>
                <w:sz w:val="16"/>
                <w:szCs w:val="16"/>
                <w:lang w:val="en-GB"/>
              </w:rPr>
            </w:pPr>
            <w:r w:rsidRPr="00353FCF">
              <w:rPr>
                <w:rFonts w:ascii="Verdana" w:hAnsi="Verdana"/>
                <w:noProof/>
                <w:sz w:val="16"/>
                <w:szCs w:val="16"/>
                <w:lang w:val="en-GB"/>
              </w:rPr>
              <w:t>Sales &amp; marketing expenses</w:t>
            </w:r>
          </w:p>
        </w:tc>
        <w:tc>
          <w:tcPr>
            <w:tcW w:w="1807" w:type="dxa"/>
            <w:gridSpan w:val="2"/>
            <w:tcBorders>
              <w:top w:val="nil"/>
              <w:left w:val="nil"/>
              <w:bottom w:val="nil"/>
              <w:right w:val="nil"/>
            </w:tcBorders>
            <w:tcMar>
              <w:top w:w="0" w:type="dxa"/>
              <w:left w:w="15" w:type="dxa"/>
              <w:bottom w:w="0" w:type="dxa"/>
              <w:right w:w="15" w:type="dxa"/>
            </w:tcMar>
            <w:vAlign w:val="bottom"/>
          </w:tcPr>
          <w:p w:rsidR="001A0AD0" w:rsidRPr="002B0B04" w:rsidRDefault="001A0AD0" w:rsidP="001A0AD0">
            <w:pPr>
              <w:jc w:val="right"/>
              <w:rPr>
                <w:rFonts w:ascii="Verdana" w:hAnsi="Verdana"/>
                <w:noProof/>
                <w:sz w:val="16"/>
                <w:szCs w:val="16"/>
              </w:rPr>
            </w:pPr>
            <w:r w:rsidRPr="002B0B04">
              <w:rPr>
                <w:rFonts w:ascii="Verdana" w:hAnsi="Verdana"/>
                <w:noProof/>
                <w:sz w:val="16"/>
                <w:szCs w:val="16"/>
              </w:rPr>
              <w:t>(77,327)</w:t>
            </w:r>
          </w:p>
        </w:tc>
        <w:tc>
          <w:tcPr>
            <w:tcW w:w="1807" w:type="dxa"/>
            <w:gridSpan w:val="2"/>
            <w:tcBorders>
              <w:top w:val="nil"/>
              <w:left w:val="nil"/>
              <w:bottom w:val="nil"/>
              <w:right w:val="nil"/>
            </w:tcBorders>
            <w:noWrap/>
            <w:tcMar>
              <w:top w:w="0" w:type="dxa"/>
              <w:left w:w="15" w:type="dxa"/>
              <w:bottom w:w="0" w:type="dxa"/>
              <w:right w:w="15" w:type="dxa"/>
            </w:tcMar>
            <w:vAlign w:val="bottom"/>
          </w:tcPr>
          <w:p w:rsidR="001A0AD0" w:rsidRPr="002B0B04" w:rsidRDefault="001A0AD0" w:rsidP="001A0AD0">
            <w:pPr>
              <w:jc w:val="right"/>
              <w:rPr>
                <w:rFonts w:ascii="Verdana" w:hAnsi="Verdana"/>
                <w:noProof/>
                <w:sz w:val="16"/>
                <w:szCs w:val="16"/>
              </w:rPr>
            </w:pPr>
            <w:r w:rsidRPr="002B0B04">
              <w:rPr>
                <w:rFonts w:ascii="Verdana" w:hAnsi="Verdana"/>
                <w:noProof/>
                <w:sz w:val="16"/>
                <w:szCs w:val="16"/>
              </w:rPr>
              <w:t>(80,370)</w:t>
            </w:r>
          </w:p>
        </w:tc>
        <w:tc>
          <w:tcPr>
            <w:tcW w:w="1453" w:type="dxa"/>
            <w:gridSpan w:val="2"/>
            <w:tcBorders>
              <w:top w:val="nil"/>
              <w:left w:val="nil"/>
              <w:bottom w:val="nil"/>
              <w:right w:val="nil"/>
            </w:tcBorders>
            <w:noWrap/>
            <w:tcMar>
              <w:top w:w="0" w:type="dxa"/>
              <w:left w:w="15" w:type="dxa"/>
              <w:bottom w:w="0" w:type="dxa"/>
              <w:right w:w="15" w:type="dxa"/>
            </w:tcMar>
            <w:vAlign w:val="bottom"/>
          </w:tcPr>
          <w:p w:rsidR="001A0AD0" w:rsidRPr="00F92C4C" w:rsidRDefault="001A0AD0" w:rsidP="001A0AD0">
            <w:pPr>
              <w:jc w:val="right"/>
              <w:rPr>
                <w:rFonts w:ascii="Verdana" w:hAnsi="Verdana"/>
                <w:noProof/>
                <w:sz w:val="16"/>
                <w:szCs w:val="16"/>
              </w:rPr>
            </w:pPr>
          </w:p>
        </w:tc>
        <w:tc>
          <w:tcPr>
            <w:tcW w:w="413" w:type="dxa"/>
            <w:gridSpan w:val="2"/>
            <w:tcBorders>
              <w:top w:val="nil"/>
              <w:left w:val="nil"/>
              <w:bottom w:val="nil"/>
              <w:right w:val="nil"/>
            </w:tcBorders>
            <w:vAlign w:val="bottom"/>
          </w:tcPr>
          <w:p w:rsidR="001A0AD0" w:rsidRPr="00B371D8" w:rsidRDefault="001A0AD0" w:rsidP="001A0AD0">
            <w:pPr>
              <w:jc w:val="right"/>
              <w:rPr>
                <w:rFonts w:ascii="Verdana" w:hAnsi="Verdana"/>
                <w:noProof/>
                <w:sz w:val="16"/>
                <w:szCs w:val="16"/>
                <w:highlight w:val="yellow"/>
              </w:rPr>
            </w:pPr>
          </w:p>
        </w:tc>
      </w:tr>
      <w:tr w:rsidR="001A0AD0" w:rsidRPr="00353FCF" w:rsidTr="00D715D2">
        <w:trPr>
          <w:gridAfter w:val="1"/>
          <w:wAfter w:w="1324" w:type="dxa"/>
          <w:trHeight w:val="285"/>
        </w:trPr>
        <w:tc>
          <w:tcPr>
            <w:tcW w:w="2992" w:type="dxa"/>
            <w:gridSpan w:val="2"/>
            <w:tcBorders>
              <w:top w:val="nil"/>
              <w:left w:val="nil"/>
              <w:bottom w:val="nil"/>
              <w:right w:val="nil"/>
            </w:tcBorders>
            <w:noWrap/>
            <w:tcMar>
              <w:top w:w="0" w:type="dxa"/>
              <w:left w:w="15" w:type="dxa"/>
              <w:bottom w:w="0" w:type="dxa"/>
              <w:right w:w="15" w:type="dxa"/>
            </w:tcMar>
            <w:vAlign w:val="bottom"/>
          </w:tcPr>
          <w:p w:rsidR="001A0AD0" w:rsidRPr="00353FCF" w:rsidRDefault="001A0AD0" w:rsidP="001A0AD0">
            <w:pPr>
              <w:jc w:val="both"/>
              <w:rPr>
                <w:rFonts w:ascii="Verdana" w:hAnsi="Verdana"/>
                <w:noProof/>
                <w:sz w:val="16"/>
                <w:szCs w:val="16"/>
                <w:lang w:val="en-GB"/>
              </w:rPr>
            </w:pPr>
            <w:r w:rsidRPr="00353FCF">
              <w:rPr>
                <w:rFonts w:ascii="Verdana" w:hAnsi="Verdana"/>
                <w:noProof/>
                <w:sz w:val="16"/>
                <w:szCs w:val="16"/>
                <w:lang w:val="en-GB"/>
              </w:rPr>
              <w:t>Development expenses</w:t>
            </w:r>
          </w:p>
        </w:tc>
        <w:tc>
          <w:tcPr>
            <w:tcW w:w="1807" w:type="dxa"/>
            <w:gridSpan w:val="2"/>
            <w:tcBorders>
              <w:top w:val="nil"/>
              <w:left w:val="nil"/>
              <w:bottom w:val="nil"/>
              <w:right w:val="nil"/>
            </w:tcBorders>
            <w:tcMar>
              <w:top w:w="0" w:type="dxa"/>
              <w:left w:w="15" w:type="dxa"/>
              <w:bottom w:w="0" w:type="dxa"/>
              <w:right w:w="15" w:type="dxa"/>
            </w:tcMar>
            <w:vAlign w:val="bottom"/>
          </w:tcPr>
          <w:p w:rsidR="001A0AD0" w:rsidRPr="002B0B04" w:rsidRDefault="001A0AD0" w:rsidP="001A0AD0">
            <w:pPr>
              <w:jc w:val="right"/>
              <w:rPr>
                <w:rFonts w:ascii="Verdana" w:hAnsi="Verdana"/>
                <w:noProof/>
                <w:sz w:val="16"/>
                <w:szCs w:val="16"/>
              </w:rPr>
            </w:pPr>
            <w:r w:rsidRPr="002B0B04">
              <w:rPr>
                <w:rFonts w:ascii="Verdana" w:hAnsi="Verdana"/>
                <w:noProof/>
                <w:sz w:val="16"/>
                <w:szCs w:val="16"/>
              </w:rPr>
              <w:t>(31,531)</w:t>
            </w:r>
          </w:p>
        </w:tc>
        <w:tc>
          <w:tcPr>
            <w:tcW w:w="1807" w:type="dxa"/>
            <w:gridSpan w:val="2"/>
            <w:tcBorders>
              <w:top w:val="nil"/>
              <w:left w:val="nil"/>
              <w:bottom w:val="nil"/>
              <w:right w:val="nil"/>
            </w:tcBorders>
            <w:noWrap/>
            <w:tcMar>
              <w:top w:w="0" w:type="dxa"/>
              <w:left w:w="15" w:type="dxa"/>
              <w:bottom w:w="0" w:type="dxa"/>
              <w:right w:w="15" w:type="dxa"/>
            </w:tcMar>
            <w:vAlign w:val="bottom"/>
          </w:tcPr>
          <w:p w:rsidR="001A0AD0" w:rsidRPr="002B0B04" w:rsidRDefault="001A0AD0" w:rsidP="001A0AD0">
            <w:pPr>
              <w:jc w:val="right"/>
              <w:rPr>
                <w:rFonts w:ascii="Verdana" w:hAnsi="Verdana"/>
                <w:noProof/>
                <w:sz w:val="16"/>
                <w:szCs w:val="16"/>
              </w:rPr>
            </w:pPr>
            <w:r w:rsidRPr="002B0B04">
              <w:rPr>
                <w:rFonts w:ascii="Verdana" w:hAnsi="Verdana"/>
                <w:noProof/>
                <w:sz w:val="16"/>
                <w:szCs w:val="16"/>
              </w:rPr>
              <w:t>(31,379)</w:t>
            </w:r>
          </w:p>
        </w:tc>
        <w:tc>
          <w:tcPr>
            <w:tcW w:w="1453" w:type="dxa"/>
            <w:gridSpan w:val="2"/>
            <w:tcBorders>
              <w:top w:val="nil"/>
              <w:left w:val="nil"/>
              <w:bottom w:val="nil"/>
              <w:right w:val="nil"/>
            </w:tcBorders>
            <w:noWrap/>
            <w:tcMar>
              <w:top w:w="0" w:type="dxa"/>
              <w:left w:w="15" w:type="dxa"/>
              <w:bottom w:w="0" w:type="dxa"/>
              <w:right w:w="15" w:type="dxa"/>
            </w:tcMar>
            <w:vAlign w:val="bottom"/>
          </w:tcPr>
          <w:p w:rsidR="001A0AD0" w:rsidRPr="00F92C4C" w:rsidRDefault="001A0AD0" w:rsidP="001A0AD0">
            <w:pPr>
              <w:jc w:val="right"/>
              <w:rPr>
                <w:rFonts w:ascii="Verdana" w:hAnsi="Verdana"/>
                <w:noProof/>
                <w:sz w:val="16"/>
                <w:szCs w:val="16"/>
              </w:rPr>
            </w:pPr>
          </w:p>
        </w:tc>
        <w:tc>
          <w:tcPr>
            <w:tcW w:w="413" w:type="dxa"/>
            <w:gridSpan w:val="2"/>
            <w:tcBorders>
              <w:top w:val="nil"/>
              <w:left w:val="nil"/>
              <w:bottom w:val="nil"/>
              <w:right w:val="nil"/>
            </w:tcBorders>
            <w:vAlign w:val="bottom"/>
          </w:tcPr>
          <w:p w:rsidR="001A0AD0" w:rsidRPr="00B371D8" w:rsidRDefault="001A0AD0" w:rsidP="001A0AD0">
            <w:pPr>
              <w:jc w:val="right"/>
              <w:rPr>
                <w:rFonts w:ascii="Verdana" w:hAnsi="Verdana"/>
                <w:noProof/>
                <w:sz w:val="16"/>
                <w:szCs w:val="16"/>
                <w:highlight w:val="yellow"/>
              </w:rPr>
            </w:pPr>
          </w:p>
        </w:tc>
      </w:tr>
      <w:tr w:rsidR="001A0AD0" w:rsidRPr="00353FCF" w:rsidTr="00D715D2">
        <w:trPr>
          <w:gridAfter w:val="1"/>
          <w:wAfter w:w="1324" w:type="dxa"/>
          <w:trHeight w:val="285"/>
        </w:trPr>
        <w:tc>
          <w:tcPr>
            <w:tcW w:w="2992" w:type="dxa"/>
            <w:gridSpan w:val="2"/>
            <w:tcBorders>
              <w:top w:val="nil"/>
              <w:left w:val="nil"/>
              <w:bottom w:val="nil"/>
              <w:right w:val="nil"/>
            </w:tcBorders>
            <w:noWrap/>
            <w:tcMar>
              <w:top w:w="0" w:type="dxa"/>
              <w:left w:w="15" w:type="dxa"/>
              <w:bottom w:w="0" w:type="dxa"/>
              <w:right w:w="15" w:type="dxa"/>
            </w:tcMar>
            <w:vAlign w:val="bottom"/>
          </w:tcPr>
          <w:p w:rsidR="001A0AD0" w:rsidRPr="00353FCF" w:rsidRDefault="001A0AD0" w:rsidP="001A0AD0">
            <w:pPr>
              <w:jc w:val="both"/>
              <w:rPr>
                <w:rFonts w:ascii="Verdana" w:hAnsi="Verdana"/>
                <w:noProof/>
                <w:sz w:val="16"/>
                <w:szCs w:val="16"/>
                <w:lang w:val="en-GB"/>
              </w:rPr>
            </w:pPr>
            <w:r w:rsidRPr="00353FCF">
              <w:rPr>
                <w:rFonts w:ascii="Verdana" w:hAnsi="Verdana"/>
                <w:noProof/>
                <w:sz w:val="16"/>
                <w:szCs w:val="16"/>
                <w:lang w:val="en-GB"/>
              </w:rPr>
              <w:t>Administrative expenses</w:t>
            </w:r>
          </w:p>
        </w:tc>
        <w:tc>
          <w:tcPr>
            <w:tcW w:w="1807" w:type="dxa"/>
            <w:gridSpan w:val="2"/>
            <w:tcBorders>
              <w:top w:val="nil"/>
              <w:left w:val="nil"/>
              <w:bottom w:val="nil"/>
              <w:right w:val="nil"/>
            </w:tcBorders>
            <w:tcMar>
              <w:top w:w="0" w:type="dxa"/>
              <w:left w:w="15" w:type="dxa"/>
              <w:bottom w:w="0" w:type="dxa"/>
              <w:right w:w="15" w:type="dxa"/>
            </w:tcMar>
            <w:vAlign w:val="bottom"/>
          </w:tcPr>
          <w:p w:rsidR="001A0AD0" w:rsidRPr="002B0B04" w:rsidRDefault="001A0AD0" w:rsidP="001A0AD0">
            <w:pPr>
              <w:jc w:val="right"/>
              <w:rPr>
                <w:rFonts w:ascii="Verdana" w:hAnsi="Verdana"/>
                <w:noProof/>
                <w:sz w:val="16"/>
                <w:szCs w:val="16"/>
              </w:rPr>
            </w:pPr>
            <w:r w:rsidRPr="002B0B04">
              <w:rPr>
                <w:rFonts w:ascii="Verdana" w:hAnsi="Verdana"/>
                <w:noProof/>
                <w:sz w:val="16"/>
                <w:szCs w:val="16"/>
              </w:rPr>
              <w:t>(66,156)</w:t>
            </w:r>
          </w:p>
        </w:tc>
        <w:tc>
          <w:tcPr>
            <w:tcW w:w="1807" w:type="dxa"/>
            <w:gridSpan w:val="2"/>
            <w:tcBorders>
              <w:top w:val="nil"/>
              <w:left w:val="nil"/>
              <w:bottom w:val="nil"/>
              <w:right w:val="nil"/>
            </w:tcBorders>
            <w:noWrap/>
            <w:tcMar>
              <w:top w:w="0" w:type="dxa"/>
              <w:left w:w="15" w:type="dxa"/>
              <w:bottom w:w="0" w:type="dxa"/>
              <w:right w:w="15" w:type="dxa"/>
            </w:tcMar>
            <w:vAlign w:val="bottom"/>
          </w:tcPr>
          <w:p w:rsidR="001A0AD0" w:rsidRPr="002B0B04" w:rsidRDefault="001A0AD0" w:rsidP="001A0AD0">
            <w:pPr>
              <w:jc w:val="right"/>
              <w:rPr>
                <w:rFonts w:ascii="Verdana" w:hAnsi="Verdana"/>
                <w:noProof/>
                <w:sz w:val="16"/>
                <w:szCs w:val="16"/>
              </w:rPr>
            </w:pPr>
            <w:r w:rsidRPr="002B0B04">
              <w:rPr>
                <w:rFonts w:ascii="Verdana" w:hAnsi="Verdana"/>
                <w:noProof/>
                <w:sz w:val="16"/>
                <w:szCs w:val="16"/>
              </w:rPr>
              <w:t>(57,688)</w:t>
            </w:r>
          </w:p>
        </w:tc>
        <w:tc>
          <w:tcPr>
            <w:tcW w:w="1453" w:type="dxa"/>
            <w:gridSpan w:val="2"/>
            <w:tcBorders>
              <w:top w:val="nil"/>
              <w:left w:val="nil"/>
              <w:bottom w:val="nil"/>
              <w:right w:val="nil"/>
            </w:tcBorders>
            <w:noWrap/>
            <w:tcMar>
              <w:top w:w="0" w:type="dxa"/>
              <w:left w:w="15" w:type="dxa"/>
              <w:bottom w:w="0" w:type="dxa"/>
              <w:right w:w="15" w:type="dxa"/>
            </w:tcMar>
            <w:vAlign w:val="bottom"/>
          </w:tcPr>
          <w:p w:rsidR="001A0AD0" w:rsidRPr="00F92C4C" w:rsidRDefault="001A0AD0" w:rsidP="001A0AD0">
            <w:pPr>
              <w:jc w:val="right"/>
              <w:rPr>
                <w:rFonts w:ascii="Verdana" w:hAnsi="Verdana"/>
                <w:noProof/>
                <w:sz w:val="16"/>
                <w:szCs w:val="16"/>
              </w:rPr>
            </w:pPr>
          </w:p>
        </w:tc>
        <w:tc>
          <w:tcPr>
            <w:tcW w:w="413" w:type="dxa"/>
            <w:gridSpan w:val="2"/>
            <w:tcBorders>
              <w:top w:val="nil"/>
              <w:left w:val="nil"/>
              <w:bottom w:val="nil"/>
              <w:right w:val="nil"/>
            </w:tcBorders>
            <w:vAlign w:val="bottom"/>
          </w:tcPr>
          <w:p w:rsidR="001A0AD0" w:rsidRPr="00B371D8" w:rsidRDefault="001A0AD0" w:rsidP="001A0AD0">
            <w:pPr>
              <w:jc w:val="right"/>
              <w:rPr>
                <w:rFonts w:ascii="Verdana" w:hAnsi="Verdana"/>
                <w:noProof/>
                <w:sz w:val="16"/>
                <w:szCs w:val="16"/>
                <w:highlight w:val="yellow"/>
              </w:rPr>
            </w:pPr>
          </w:p>
        </w:tc>
      </w:tr>
      <w:tr w:rsidR="001A0AD0" w:rsidRPr="00353FCF" w:rsidTr="00D715D2">
        <w:trPr>
          <w:gridAfter w:val="1"/>
          <w:wAfter w:w="1324" w:type="dxa"/>
          <w:trHeight w:val="415"/>
        </w:trPr>
        <w:tc>
          <w:tcPr>
            <w:tcW w:w="2992" w:type="dxa"/>
            <w:gridSpan w:val="2"/>
            <w:tcBorders>
              <w:top w:val="nil"/>
              <w:left w:val="nil"/>
              <w:bottom w:val="nil"/>
              <w:right w:val="nil"/>
            </w:tcBorders>
            <w:noWrap/>
            <w:tcMar>
              <w:top w:w="0" w:type="dxa"/>
              <w:left w:w="15" w:type="dxa"/>
              <w:bottom w:w="0" w:type="dxa"/>
              <w:right w:w="15" w:type="dxa"/>
            </w:tcMar>
            <w:vAlign w:val="bottom"/>
          </w:tcPr>
          <w:p w:rsidR="001A0AD0" w:rsidRPr="00353FCF" w:rsidRDefault="001A0AD0" w:rsidP="001A0AD0">
            <w:pPr>
              <w:jc w:val="both"/>
              <w:rPr>
                <w:rFonts w:ascii="Verdana" w:hAnsi="Verdana"/>
                <w:noProof/>
                <w:sz w:val="16"/>
                <w:szCs w:val="16"/>
                <w:lang w:val="en-GB"/>
              </w:rPr>
            </w:pPr>
            <w:r w:rsidRPr="00353FCF">
              <w:rPr>
                <w:rFonts w:ascii="Verdana" w:hAnsi="Verdana"/>
                <w:noProof/>
                <w:sz w:val="16"/>
                <w:szCs w:val="16"/>
                <w:lang w:val="en-GB"/>
              </w:rPr>
              <w:t>Profit from operations EBIT</w:t>
            </w:r>
          </w:p>
        </w:tc>
        <w:tc>
          <w:tcPr>
            <w:tcW w:w="1807" w:type="dxa"/>
            <w:gridSpan w:val="2"/>
            <w:tcBorders>
              <w:top w:val="nil"/>
              <w:left w:val="nil"/>
              <w:bottom w:val="nil"/>
              <w:right w:val="nil"/>
            </w:tcBorders>
            <w:tcMar>
              <w:top w:w="0" w:type="dxa"/>
              <w:left w:w="15" w:type="dxa"/>
              <w:bottom w:w="0" w:type="dxa"/>
              <w:right w:w="15" w:type="dxa"/>
            </w:tcMar>
            <w:vAlign w:val="bottom"/>
          </w:tcPr>
          <w:p w:rsidR="001A0AD0" w:rsidRPr="00B371D8" w:rsidRDefault="001A0AD0" w:rsidP="001A0AD0">
            <w:pPr>
              <w:jc w:val="right"/>
              <w:rPr>
                <w:rFonts w:ascii="Verdana" w:hAnsi="Verdana"/>
                <w:noProof/>
                <w:sz w:val="16"/>
                <w:szCs w:val="16"/>
              </w:rPr>
            </w:pPr>
            <w:r w:rsidRPr="00B371D8">
              <w:rPr>
                <w:rFonts w:ascii="Verdana" w:hAnsi="Verdana"/>
                <w:noProof/>
                <w:sz w:val="16"/>
                <w:szCs w:val="16"/>
              </w:rPr>
              <w:t>47</w:t>
            </w:r>
            <w:r>
              <w:rPr>
                <w:rFonts w:ascii="Verdana" w:hAnsi="Verdana"/>
                <w:noProof/>
                <w:sz w:val="16"/>
                <w:szCs w:val="16"/>
              </w:rPr>
              <w:t>,</w:t>
            </w:r>
            <w:r w:rsidRPr="00B371D8">
              <w:rPr>
                <w:rFonts w:ascii="Verdana" w:hAnsi="Verdana"/>
                <w:noProof/>
                <w:sz w:val="16"/>
                <w:szCs w:val="16"/>
              </w:rPr>
              <w:t>807</w:t>
            </w:r>
          </w:p>
        </w:tc>
        <w:tc>
          <w:tcPr>
            <w:tcW w:w="1807" w:type="dxa"/>
            <w:gridSpan w:val="2"/>
            <w:tcBorders>
              <w:top w:val="nil"/>
              <w:left w:val="nil"/>
              <w:bottom w:val="nil"/>
              <w:right w:val="nil"/>
            </w:tcBorders>
            <w:noWrap/>
            <w:tcMar>
              <w:top w:w="0" w:type="dxa"/>
              <w:left w:w="15" w:type="dxa"/>
              <w:bottom w:w="0" w:type="dxa"/>
              <w:right w:w="15" w:type="dxa"/>
            </w:tcMar>
            <w:vAlign w:val="bottom"/>
          </w:tcPr>
          <w:p w:rsidR="001A0AD0" w:rsidRPr="00034C5D" w:rsidRDefault="001A0AD0" w:rsidP="001A0AD0">
            <w:pPr>
              <w:jc w:val="right"/>
              <w:rPr>
                <w:rFonts w:ascii="Verdana" w:hAnsi="Verdana"/>
                <w:noProof/>
                <w:sz w:val="16"/>
                <w:szCs w:val="16"/>
              </w:rPr>
            </w:pPr>
            <w:r w:rsidRPr="00034C5D">
              <w:rPr>
                <w:rFonts w:ascii="Verdana" w:hAnsi="Verdana"/>
                <w:noProof/>
                <w:sz w:val="16"/>
                <w:szCs w:val="16"/>
              </w:rPr>
              <w:t>41</w:t>
            </w:r>
            <w:r>
              <w:rPr>
                <w:rFonts w:ascii="Verdana" w:hAnsi="Verdana"/>
                <w:noProof/>
                <w:sz w:val="16"/>
                <w:szCs w:val="16"/>
              </w:rPr>
              <w:t>,</w:t>
            </w:r>
            <w:r w:rsidRPr="00034C5D">
              <w:rPr>
                <w:rFonts w:ascii="Verdana" w:hAnsi="Verdana"/>
                <w:noProof/>
                <w:sz w:val="16"/>
                <w:szCs w:val="16"/>
              </w:rPr>
              <w:t>489</w:t>
            </w:r>
          </w:p>
        </w:tc>
        <w:tc>
          <w:tcPr>
            <w:tcW w:w="1453" w:type="dxa"/>
            <w:gridSpan w:val="2"/>
            <w:tcBorders>
              <w:top w:val="nil"/>
              <w:left w:val="nil"/>
              <w:bottom w:val="nil"/>
              <w:right w:val="nil"/>
            </w:tcBorders>
            <w:noWrap/>
            <w:tcMar>
              <w:top w:w="0" w:type="dxa"/>
              <w:left w:w="15" w:type="dxa"/>
              <w:bottom w:w="0" w:type="dxa"/>
              <w:right w:w="15" w:type="dxa"/>
            </w:tcMar>
            <w:vAlign w:val="bottom"/>
          </w:tcPr>
          <w:p w:rsidR="001A0AD0" w:rsidRPr="00F92C4C" w:rsidRDefault="001A0AD0" w:rsidP="001A0AD0">
            <w:pPr>
              <w:jc w:val="right"/>
              <w:rPr>
                <w:rFonts w:ascii="Verdana" w:hAnsi="Verdana"/>
                <w:noProof/>
                <w:sz w:val="16"/>
                <w:szCs w:val="16"/>
              </w:rPr>
            </w:pPr>
          </w:p>
        </w:tc>
        <w:tc>
          <w:tcPr>
            <w:tcW w:w="413" w:type="dxa"/>
            <w:gridSpan w:val="2"/>
            <w:tcBorders>
              <w:top w:val="nil"/>
              <w:left w:val="nil"/>
              <w:bottom w:val="nil"/>
              <w:right w:val="nil"/>
            </w:tcBorders>
            <w:vAlign w:val="bottom"/>
          </w:tcPr>
          <w:p w:rsidR="001A0AD0" w:rsidRPr="00B371D8" w:rsidRDefault="001A0AD0" w:rsidP="001A0AD0">
            <w:pPr>
              <w:jc w:val="right"/>
              <w:rPr>
                <w:rFonts w:ascii="Verdana" w:hAnsi="Verdana"/>
                <w:noProof/>
                <w:sz w:val="16"/>
                <w:szCs w:val="16"/>
              </w:rPr>
            </w:pPr>
          </w:p>
        </w:tc>
      </w:tr>
      <w:tr w:rsidR="00726CCE" w:rsidRPr="00353FCF" w:rsidTr="00D715D2">
        <w:trPr>
          <w:gridAfter w:val="1"/>
          <w:wAfter w:w="1324" w:type="dxa"/>
          <w:trHeight w:val="285"/>
        </w:trPr>
        <w:tc>
          <w:tcPr>
            <w:tcW w:w="2992" w:type="dxa"/>
            <w:gridSpan w:val="2"/>
            <w:tcBorders>
              <w:top w:val="nil"/>
              <w:left w:val="nil"/>
              <w:bottom w:val="nil"/>
              <w:right w:val="nil"/>
            </w:tcBorders>
            <w:noWrap/>
            <w:tcMar>
              <w:top w:w="0" w:type="dxa"/>
              <w:left w:w="15" w:type="dxa"/>
              <w:bottom w:w="0" w:type="dxa"/>
              <w:right w:w="15" w:type="dxa"/>
            </w:tcMar>
            <w:vAlign w:val="bottom"/>
          </w:tcPr>
          <w:p w:rsidR="00726CCE" w:rsidRDefault="00726CCE" w:rsidP="00726CCE">
            <w:pPr>
              <w:rPr>
                <w:rFonts w:ascii="Verdana" w:hAnsi="Verdana"/>
                <w:noProof/>
                <w:sz w:val="16"/>
                <w:szCs w:val="16"/>
                <w:lang w:val="en-GB"/>
              </w:rPr>
            </w:pPr>
          </w:p>
          <w:p w:rsidR="00726CCE" w:rsidRPr="00353FCF" w:rsidRDefault="00726CCE" w:rsidP="00726CCE">
            <w:pPr>
              <w:rPr>
                <w:rFonts w:ascii="Verdana" w:hAnsi="Verdana"/>
                <w:noProof/>
                <w:sz w:val="16"/>
                <w:szCs w:val="16"/>
                <w:lang w:val="en-GB"/>
              </w:rPr>
            </w:pPr>
            <w:r w:rsidRPr="00353FCF">
              <w:rPr>
                <w:rFonts w:ascii="Verdana" w:hAnsi="Verdana"/>
                <w:noProof/>
                <w:sz w:val="16"/>
                <w:szCs w:val="16"/>
                <w:lang w:val="en-GB"/>
              </w:rPr>
              <w:t>EBIT</w:t>
            </w:r>
            <w:r>
              <w:rPr>
                <w:rFonts w:ascii="Verdana" w:hAnsi="Verdana"/>
                <w:noProof/>
                <w:sz w:val="16"/>
                <w:szCs w:val="16"/>
                <w:lang w:val="en-GB"/>
              </w:rPr>
              <w:t xml:space="preserve"> excluding cost due to restructuring</w:t>
            </w:r>
          </w:p>
        </w:tc>
        <w:tc>
          <w:tcPr>
            <w:tcW w:w="1807" w:type="dxa"/>
            <w:gridSpan w:val="2"/>
            <w:tcBorders>
              <w:top w:val="nil"/>
              <w:left w:val="nil"/>
              <w:bottom w:val="nil"/>
              <w:right w:val="nil"/>
            </w:tcBorders>
            <w:tcMar>
              <w:top w:w="0" w:type="dxa"/>
              <w:left w:w="15" w:type="dxa"/>
              <w:bottom w:w="0" w:type="dxa"/>
              <w:right w:w="15" w:type="dxa"/>
            </w:tcMar>
            <w:vAlign w:val="bottom"/>
          </w:tcPr>
          <w:p w:rsidR="00726CCE" w:rsidRPr="00B371D8" w:rsidRDefault="00726CCE" w:rsidP="00726CCE">
            <w:pPr>
              <w:jc w:val="right"/>
              <w:rPr>
                <w:rFonts w:ascii="Verdana" w:hAnsi="Verdana"/>
                <w:noProof/>
                <w:sz w:val="16"/>
                <w:szCs w:val="16"/>
              </w:rPr>
            </w:pPr>
            <w:r>
              <w:rPr>
                <w:rFonts w:ascii="Verdana" w:hAnsi="Verdana"/>
                <w:noProof/>
                <w:sz w:val="16"/>
                <w:szCs w:val="16"/>
              </w:rPr>
              <w:t>51,9</w:t>
            </w:r>
            <w:r w:rsidRPr="00B371D8">
              <w:rPr>
                <w:rFonts w:ascii="Verdana" w:hAnsi="Verdana"/>
                <w:noProof/>
                <w:sz w:val="16"/>
                <w:szCs w:val="16"/>
              </w:rPr>
              <w:t>07</w:t>
            </w:r>
          </w:p>
        </w:tc>
        <w:tc>
          <w:tcPr>
            <w:tcW w:w="1807" w:type="dxa"/>
            <w:gridSpan w:val="2"/>
            <w:tcBorders>
              <w:top w:val="nil"/>
              <w:left w:val="nil"/>
              <w:bottom w:val="nil"/>
              <w:right w:val="nil"/>
            </w:tcBorders>
            <w:noWrap/>
            <w:tcMar>
              <w:top w:w="0" w:type="dxa"/>
              <w:left w:w="15" w:type="dxa"/>
              <w:bottom w:w="0" w:type="dxa"/>
              <w:right w:w="15" w:type="dxa"/>
            </w:tcMar>
            <w:vAlign w:val="bottom"/>
          </w:tcPr>
          <w:p w:rsidR="00726CCE" w:rsidRPr="00034C5D" w:rsidRDefault="00726CCE" w:rsidP="00726CCE">
            <w:pPr>
              <w:jc w:val="right"/>
              <w:rPr>
                <w:rFonts w:ascii="Verdana" w:hAnsi="Verdana"/>
                <w:noProof/>
                <w:sz w:val="16"/>
                <w:szCs w:val="16"/>
              </w:rPr>
            </w:pPr>
            <w:r>
              <w:rPr>
                <w:rFonts w:ascii="Verdana" w:hAnsi="Verdana"/>
                <w:noProof/>
                <w:sz w:val="16"/>
                <w:szCs w:val="16"/>
              </w:rPr>
              <w:t>41,489</w:t>
            </w:r>
          </w:p>
        </w:tc>
        <w:tc>
          <w:tcPr>
            <w:tcW w:w="1453" w:type="dxa"/>
            <w:gridSpan w:val="2"/>
            <w:tcBorders>
              <w:top w:val="nil"/>
              <w:left w:val="nil"/>
              <w:bottom w:val="nil"/>
              <w:right w:val="nil"/>
            </w:tcBorders>
            <w:noWrap/>
            <w:tcMar>
              <w:top w:w="0" w:type="dxa"/>
              <w:left w:w="15" w:type="dxa"/>
              <w:bottom w:w="0" w:type="dxa"/>
              <w:right w:w="15" w:type="dxa"/>
            </w:tcMar>
            <w:vAlign w:val="bottom"/>
          </w:tcPr>
          <w:p w:rsidR="00726CCE" w:rsidRPr="00F92C4C" w:rsidRDefault="00726CCE" w:rsidP="00726CCE">
            <w:pPr>
              <w:jc w:val="right"/>
              <w:rPr>
                <w:rFonts w:ascii="Verdana" w:hAnsi="Verdana"/>
                <w:noProof/>
                <w:sz w:val="16"/>
                <w:szCs w:val="16"/>
              </w:rPr>
            </w:pPr>
          </w:p>
        </w:tc>
        <w:tc>
          <w:tcPr>
            <w:tcW w:w="413" w:type="dxa"/>
            <w:gridSpan w:val="2"/>
            <w:tcBorders>
              <w:top w:val="nil"/>
              <w:left w:val="nil"/>
              <w:bottom w:val="nil"/>
              <w:right w:val="nil"/>
            </w:tcBorders>
            <w:vAlign w:val="bottom"/>
          </w:tcPr>
          <w:p w:rsidR="00726CCE" w:rsidRPr="00B371D8" w:rsidRDefault="00726CCE" w:rsidP="00726CCE">
            <w:pPr>
              <w:jc w:val="right"/>
              <w:rPr>
                <w:rFonts w:ascii="Verdana" w:hAnsi="Verdana"/>
                <w:noProof/>
                <w:sz w:val="16"/>
                <w:szCs w:val="16"/>
              </w:rPr>
            </w:pPr>
          </w:p>
        </w:tc>
      </w:tr>
      <w:tr w:rsidR="001A0AD0" w:rsidRPr="00353FCF" w:rsidTr="00D715D2">
        <w:trPr>
          <w:gridAfter w:val="1"/>
          <w:wAfter w:w="1324" w:type="dxa"/>
          <w:trHeight w:val="285"/>
        </w:trPr>
        <w:tc>
          <w:tcPr>
            <w:tcW w:w="2992" w:type="dxa"/>
            <w:gridSpan w:val="2"/>
            <w:tcBorders>
              <w:top w:val="nil"/>
              <w:left w:val="nil"/>
              <w:bottom w:val="nil"/>
              <w:right w:val="nil"/>
            </w:tcBorders>
            <w:noWrap/>
            <w:tcMar>
              <w:top w:w="0" w:type="dxa"/>
              <w:left w:w="15" w:type="dxa"/>
              <w:bottom w:w="0" w:type="dxa"/>
              <w:right w:w="15" w:type="dxa"/>
            </w:tcMar>
            <w:vAlign w:val="bottom"/>
          </w:tcPr>
          <w:p w:rsidR="00726CCE" w:rsidRDefault="00726CCE" w:rsidP="001A0AD0">
            <w:pPr>
              <w:jc w:val="both"/>
              <w:rPr>
                <w:rFonts w:ascii="Verdana" w:hAnsi="Verdana"/>
                <w:noProof/>
                <w:sz w:val="16"/>
                <w:szCs w:val="16"/>
                <w:lang w:val="en-GB"/>
              </w:rPr>
            </w:pPr>
          </w:p>
          <w:p w:rsidR="001A0AD0" w:rsidRPr="00353FCF" w:rsidRDefault="001A0AD0" w:rsidP="001A0AD0">
            <w:pPr>
              <w:jc w:val="both"/>
              <w:rPr>
                <w:rFonts w:ascii="Verdana" w:hAnsi="Verdana"/>
                <w:noProof/>
                <w:sz w:val="16"/>
                <w:szCs w:val="16"/>
                <w:lang w:val="en-GB"/>
              </w:rPr>
            </w:pPr>
            <w:r w:rsidRPr="00353FCF">
              <w:rPr>
                <w:rFonts w:ascii="Verdana" w:hAnsi="Verdana"/>
                <w:noProof/>
                <w:sz w:val="16"/>
                <w:szCs w:val="16"/>
                <w:lang w:val="en-GB"/>
              </w:rPr>
              <w:t xml:space="preserve">EBITDA </w:t>
            </w:r>
          </w:p>
        </w:tc>
        <w:tc>
          <w:tcPr>
            <w:tcW w:w="1807" w:type="dxa"/>
            <w:gridSpan w:val="2"/>
            <w:tcBorders>
              <w:top w:val="nil"/>
              <w:left w:val="nil"/>
              <w:bottom w:val="nil"/>
              <w:right w:val="nil"/>
            </w:tcBorders>
            <w:tcMar>
              <w:top w:w="0" w:type="dxa"/>
              <w:left w:w="15" w:type="dxa"/>
              <w:bottom w:w="0" w:type="dxa"/>
              <w:right w:w="15" w:type="dxa"/>
            </w:tcMar>
            <w:vAlign w:val="bottom"/>
          </w:tcPr>
          <w:p w:rsidR="001A0AD0" w:rsidRPr="00B371D8" w:rsidRDefault="001A0AD0" w:rsidP="001A0AD0">
            <w:pPr>
              <w:jc w:val="right"/>
              <w:rPr>
                <w:rFonts w:ascii="Verdana" w:hAnsi="Verdana"/>
                <w:noProof/>
                <w:sz w:val="16"/>
                <w:szCs w:val="16"/>
              </w:rPr>
            </w:pPr>
            <w:r w:rsidRPr="00B371D8">
              <w:rPr>
                <w:rFonts w:ascii="Verdana" w:hAnsi="Verdana"/>
                <w:noProof/>
                <w:sz w:val="16"/>
                <w:szCs w:val="16"/>
              </w:rPr>
              <w:t>71</w:t>
            </w:r>
            <w:r>
              <w:rPr>
                <w:rFonts w:ascii="Verdana" w:hAnsi="Verdana"/>
                <w:noProof/>
                <w:sz w:val="16"/>
                <w:szCs w:val="16"/>
              </w:rPr>
              <w:t>,</w:t>
            </w:r>
            <w:r w:rsidRPr="00B371D8">
              <w:rPr>
                <w:rFonts w:ascii="Verdana" w:hAnsi="Verdana"/>
                <w:noProof/>
                <w:sz w:val="16"/>
                <w:szCs w:val="16"/>
              </w:rPr>
              <w:t>410</w:t>
            </w:r>
          </w:p>
        </w:tc>
        <w:tc>
          <w:tcPr>
            <w:tcW w:w="1807" w:type="dxa"/>
            <w:gridSpan w:val="2"/>
            <w:tcBorders>
              <w:top w:val="nil"/>
              <w:left w:val="nil"/>
              <w:bottom w:val="nil"/>
              <w:right w:val="nil"/>
            </w:tcBorders>
            <w:noWrap/>
            <w:tcMar>
              <w:top w:w="0" w:type="dxa"/>
              <w:left w:w="15" w:type="dxa"/>
              <w:bottom w:w="0" w:type="dxa"/>
              <w:right w:w="15" w:type="dxa"/>
            </w:tcMar>
            <w:vAlign w:val="bottom"/>
          </w:tcPr>
          <w:p w:rsidR="001A0AD0" w:rsidRPr="00034C5D" w:rsidRDefault="001A0AD0" w:rsidP="001A0AD0">
            <w:pPr>
              <w:jc w:val="right"/>
              <w:rPr>
                <w:rFonts w:ascii="Verdana" w:hAnsi="Verdana"/>
                <w:noProof/>
                <w:sz w:val="16"/>
                <w:szCs w:val="16"/>
              </w:rPr>
            </w:pPr>
            <w:r w:rsidRPr="00034C5D">
              <w:rPr>
                <w:rFonts w:ascii="Verdana" w:hAnsi="Verdana"/>
                <w:noProof/>
                <w:sz w:val="16"/>
                <w:szCs w:val="16"/>
              </w:rPr>
              <w:t>61</w:t>
            </w:r>
            <w:r>
              <w:rPr>
                <w:rFonts w:ascii="Verdana" w:hAnsi="Verdana"/>
                <w:noProof/>
                <w:sz w:val="16"/>
                <w:szCs w:val="16"/>
              </w:rPr>
              <w:t>,</w:t>
            </w:r>
            <w:r w:rsidRPr="00034C5D">
              <w:rPr>
                <w:rFonts w:ascii="Verdana" w:hAnsi="Verdana"/>
                <w:noProof/>
                <w:sz w:val="16"/>
                <w:szCs w:val="16"/>
              </w:rPr>
              <w:t>785</w:t>
            </w:r>
          </w:p>
        </w:tc>
        <w:tc>
          <w:tcPr>
            <w:tcW w:w="1453" w:type="dxa"/>
            <w:gridSpan w:val="2"/>
            <w:tcBorders>
              <w:top w:val="nil"/>
              <w:left w:val="nil"/>
              <w:bottom w:val="nil"/>
              <w:right w:val="nil"/>
            </w:tcBorders>
            <w:noWrap/>
            <w:tcMar>
              <w:top w:w="0" w:type="dxa"/>
              <w:left w:w="15" w:type="dxa"/>
              <w:bottom w:w="0" w:type="dxa"/>
              <w:right w:w="15" w:type="dxa"/>
            </w:tcMar>
          </w:tcPr>
          <w:p w:rsidR="001A0AD0" w:rsidRPr="00F92C4C" w:rsidRDefault="001A0AD0" w:rsidP="001A0AD0">
            <w:pPr>
              <w:jc w:val="right"/>
              <w:rPr>
                <w:rFonts w:ascii="Verdana" w:hAnsi="Verdana"/>
                <w:noProof/>
                <w:sz w:val="16"/>
                <w:szCs w:val="16"/>
              </w:rPr>
            </w:pPr>
          </w:p>
        </w:tc>
        <w:tc>
          <w:tcPr>
            <w:tcW w:w="413" w:type="dxa"/>
            <w:gridSpan w:val="2"/>
            <w:tcBorders>
              <w:top w:val="nil"/>
              <w:left w:val="nil"/>
              <w:bottom w:val="nil"/>
              <w:right w:val="nil"/>
            </w:tcBorders>
            <w:vAlign w:val="bottom"/>
          </w:tcPr>
          <w:p w:rsidR="001A0AD0" w:rsidRPr="00B371D8" w:rsidRDefault="001A0AD0" w:rsidP="001A0AD0">
            <w:pPr>
              <w:jc w:val="right"/>
              <w:rPr>
                <w:rFonts w:ascii="Verdana" w:hAnsi="Verdana"/>
                <w:noProof/>
                <w:sz w:val="16"/>
                <w:szCs w:val="16"/>
              </w:rPr>
            </w:pPr>
          </w:p>
        </w:tc>
      </w:tr>
      <w:tr w:rsidR="001A0AD0" w:rsidRPr="00353FCF" w:rsidTr="00D715D2">
        <w:trPr>
          <w:gridAfter w:val="1"/>
          <w:wAfter w:w="1324" w:type="dxa"/>
          <w:trHeight w:val="285"/>
        </w:trPr>
        <w:tc>
          <w:tcPr>
            <w:tcW w:w="2992" w:type="dxa"/>
            <w:gridSpan w:val="2"/>
            <w:tcBorders>
              <w:top w:val="nil"/>
              <w:left w:val="nil"/>
              <w:bottom w:val="nil"/>
              <w:right w:val="nil"/>
            </w:tcBorders>
            <w:noWrap/>
            <w:tcMar>
              <w:top w:w="15" w:type="dxa"/>
              <w:left w:w="15" w:type="dxa"/>
              <w:bottom w:w="0" w:type="dxa"/>
              <w:right w:w="15" w:type="dxa"/>
            </w:tcMar>
            <w:vAlign w:val="bottom"/>
          </w:tcPr>
          <w:p w:rsidR="00726CCE" w:rsidRDefault="00726CCE" w:rsidP="001A0AD0">
            <w:pPr>
              <w:jc w:val="both"/>
              <w:rPr>
                <w:rFonts w:ascii="Verdana" w:hAnsi="Verdana"/>
                <w:noProof/>
                <w:sz w:val="16"/>
                <w:szCs w:val="16"/>
                <w:highlight w:val="yellow"/>
                <w:lang w:val="en-GB"/>
              </w:rPr>
            </w:pPr>
          </w:p>
          <w:p w:rsidR="00726CCE" w:rsidRPr="00353FCF" w:rsidRDefault="00726CCE" w:rsidP="001A0AD0">
            <w:pPr>
              <w:jc w:val="both"/>
              <w:rPr>
                <w:rFonts w:ascii="Verdana" w:hAnsi="Verdana"/>
                <w:noProof/>
                <w:sz w:val="16"/>
                <w:szCs w:val="16"/>
                <w:highlight w:val="yellow"/>
                <w:lang w:val="en-GB"/>
              </w:rPr>
            </w:pPr>
          </w:p>
        </w:tc>
        <w:tc>
          <w:tcPr>
            <w:tcW w:w="1807" w:type="dxa"/>
            <w:gridSpan w:val="2"/>
            <w:tcBorders>
              <w:top w:val="nil"/>
              <w:left w:val="nil"/>
              <w:bottom w:val="nil"/>
              <w:right w:val="nil"/>
            </w:tcBorders>
            <w:tcMar>
              <w:top w:w="15" w:type="dxa"/>
              <w:left w:w="15" w:type="dxa"/>
              <w:bottom w:w="0" w:type="dxa"/>
              <w:right w:w="15" w:type="dxa"/>
            </w:tcMar>
            <w:vAlign w:val="bottom"/>
          </w:tcPr>
          <w:p w:rsidR="001A0AD0" w:rsidRPr="007B1C48" w:rsidRDefault="001A0AD0" w:rsidP="001A0AD0">
            <w:pPr>
              <w:jc w:val="right"/>
              <w:rPr>
                <w:rFonts w:ascii="Verdana" w:hAnsi="Verdana"/>
                <w:noProof/>
                <w:sz w:val="16"/>
                <w:szCs w:val="16"/>
                <w:highlight w:val="yellow"/>
              </w:rPr>
            </w:pPr>
          </w:p>
        </w:tc>
        <w:tc>
          <w:tcPr>
            <w:tcW w:w="1807" w:type="dxa"/>
            <w:gridSpan w:val="2"/>
            <w:tcBorders>
              <w:top w:val="nil"/>
              <w:left w:val="nil"/>
              <w:bottom w:val="nil"/>
              <w:right w:val="nil"/>
            </w:tcBorders>
            <w:noWrap/>
            <w:tcMar>
              <w:top w:w="15" w:type="dxa"/>
              <w:left w:w="15" w:type="dxa"/>
              <w:bottom w:w="0" w:type="dxa"/>
              <w:right w:w="15" w:type="dxa"/>
            </w:tcMar>
            <w:vAlign w:val="bottom"/>
          </w:tcPr>
          <w:p w:rsidR="001A0AD0" w:rsidRPr="007B1C48" w:rsidRDefault="001A0AD0" w:rsidP="001A0AD0">
            <w:pPr>
              <w:jc w:val="right"/>
              <w:rPr>
                <w:rFonts w:ascii="Verdana" w:hAnsi="Verdana"/>
                <w:noProof/>
                <w:sz w:val="16"/>
                <w:szCs w:val="16"/>
                <w:highlight w:val="yellow"/>
              </w:rPr>
            </w:pPr>
          </w:p>
        </w:tc>
        <w:tc>
          <w:tcPr>
            <w:tcW w:w="1453" w:type="dxa"/>
            <w:gridSpan w:val="2"/>
            <w:tcBorders>
              <w:top w:val="nil"/>
              <w:left w:val="nil"/>
              <w:bottom w:val="nil"/>
              <w:right w:val="nil"/>
            </w:tcBorders>
            <w:noWrap/>
            <w:tcMar>
              <w:top w:w="15" w:type="dxa"/>
              <w:left w:w="15" w:type="dxa"/>
              <w:bottom w:w="0" w:type="dxa"/>
              <w:right w:w="15" w:type="dxa"/>
            </w:tcMar>
          </w:tcPr>
          <w:p w:rsidR="001A0AD0" w:rsidRPr="007B1C48" w:rsidRDefault="001A0AD0" w:rsidP="001A0AD0">
            <w:pPr>
              <w:jc w:val="right"/>
              <w:rPr>
                <w:rFonts w:ascii="Verdana" w:hAnsi="Verdana"/>
                <w:noProof/>
                <w:sz w:val="16"/>
                <w:szCs w:val="16"/>
                <w:highlight w:val="yellow"/>
              </w:rPr>
            </w:pPr>
          </w:p>
        </w:tc>
        <w:tc>
          <w:tcPr>
            <w:tcW w:w="413" w:type="dxa"/>
            <w:gridSpan w:val="2"/>
            <w:tcBorders>
              <w:top w:val="nil"/>
              <w:left w:val="nil"/>
              <w:bottom w:val="nil"/>
              <w:right w:val="nil"/>
            </w:tcBorders>
            <w:vAlign w:val="bottom"/>
          </w:tcPr>
          <w:p w:rsidR="001A0AD0" w:rsidRPr="007B1C48" w:rsidRDefault="001A0AD0" w:rsidP="001A0AD0">
            <w:pPr>
              <w:jc w:val="right"/>
              <w:rPr>
                <w:rFonts w:ascii="Verdana" w:hAnsi="Verdana"/>
                <w:noProof/>
                <w:sz w:val="16"/>
                <w:szCs w:val="16"/>
                <w:highlight w:val="yellow"/>
              </w:rPr>
            </w:pPr>
          </w:p>
        </w:tc>
      </w:tr>
      <w:tr w:rsidR="001A0AD0" w:rsidRPr="00353FCF" w:rsidTr="00D715D2">
        <w:trPr>
          <w:gridAfter w:val="1"/>
          <w:wAfter w:w="1324" w:type="dxa"/>
          <w:trHeight w:val="255"/>
        </w:trPr>
        <w:tc>
          <w:tcPr>
            <w:tcW w:w="2992" w:type="dxa"/>
            <w:gridSpan w:val="2"/>
            <w:tcBorders>
              <w:top w:val="nil"/>
              <w:left w:val="nil"/>
              <w:bottom w:val="nil"/>
              <w:right w:val="nil"/>
            </w:tcBorders>
            <w:shd w:val="clear" w:color="auto" w:fill="C0C0C0"/>
            <w:noWrap/>
            <w:tcMar>
              <w:top w:w="0" w:type="dxa"/>
              <w:left w:w="15" w:type="dxa"/>
              <w:bottom w:w="0" w:type="dxa"/>
              <w:right w:w="15" w:type="dxa"/>
            </w:tcMar>
            <w:vAlign w:val="bottom"/>
          </w:tcPr>
          <w:p w:rsidR="001A0AD0" w:rsidRPr="00353FCF" w:rsidRDefault="001A0AD0" w:rsidP="001A0AD0">
            <w:pPr>
              <w:jc w:val="both"/>
              <w:rPr>
                <w:rFonts w:ascii="Verdana" w:hAnsi="Verdana"/>
                <w:b/>
                <w:noProof/>
                <w:sz w:val="16"/>
                <w:szCs w:val="16"/>
                <w:lang w:val="en-GB"/>
              </w:rPr>
            </w:pPr>
            <w:r w:rsidRPr="00353FCF">
              <w:rPr>
                <w:rFonts w:ascii="Verdana" w:hAnsi="Verdana"/>
                <w:b/>
                <w:noProof/>
                <w:sz w:val="16"/>
                <w:szCs w:val="16"/>
                <w:lang w:val="en-GB"/>
              </w:rPr>
              <w:t>Percent of sales</w:t>
            </w:r>
          </w:p>
        </w:tc>
        <w:tc>
          <w:tcPr>
            <w:tcW w:w="1807" w:type="dxa"/>
            <w:gridSpan w:val="2"/>
            <w:tcBorders>
              <w:top w:val="nil"/>
              <w:left w:val="nil"/>
              <w:bottom w:val="nil"/>
              <w:right w:val="nil"/>
            </w:tcBorders>
            <w:shd w:val="clear" w:color="auto" w:fill="C0C0C0"/>
            <w:tcMar>
              <w:top w:w="0" w:type="dxa"/>
              <w:left w:w="15" w:type="dxa"/>
              <w:bottom w:w="0" w:type="dxa"/>
              <w:right w:w="15" w:type="dxa"/>
            </w:tcMar>
            <w:vAlign w:val="bottom"/>
          </w:tcPr>
          <w:p w:rsidR="001A0AD0" w:rsidRPr="00ED6BB3" w:rsidRDefault="001A0AD0" w:rsidP="001A0AD0">
            <w:pPr>
              <w:jc w:val="right"/>
              <w:rPr>
                <w:rFonts w:ascii="Verdana" w:hAnsi="Verdana"/>
                <w:noProof/>
                <w:sz w:val="16"/>
                <w:szCs w:val="16"/>
              </w:rPr>
            </w:pPr>
          </w:p>
        </w:tc>
        <w:tc>
          <w:tcPr>
            <w:tcW w:w="1807" w:type="dxa"/>
            <w:gridSpan w:val="2"/>
            <w:tcBorders>
              <w:top w:val="nil"/>
              <w:left w:val="nil"/>
              <w:bottom w:val="nil"/>
              <w:right w:val="nil"/>
            </w:tcBorders>
            <w:shd w:val="clear" w:color="auto" w:fill="C0C0C0"/>
            <w:noWrap/>
            <w:tcMar>
              <w:top w:w="0" w:type="dxa"/>
              <w:left w:w="15" w:type="dxa"/>
              <w:bottom w:w="0" w:type="dxa"/>
              <w:right w:w="15" w:type="dxa"/>
            </w:tcMar>
            <w:vAlign w:val="bottom"/>
          </w:tcPr>
          <w:p w:rsidR="001A0AD0" w:rsidRPr="00ED6BB3" w:rsidRDefault="001A0AD0" w:rsidP="001A0AD0">
            <w:pPr>
              <w:jc w:val="right"/>
              <w:rPr>
                <w:rFonts w:ascii="Verdana" w:hAnsi="Verdana"/>
                <w:noProof/>
                <w:sz w:val="16"/>
                <w:szCs w:val="16"/>
              </w:rPr>
            </w:pPr>
          </w:p>
        </w:tc>
        <w:tc>
          <w:tcPr>
            <w:tcW w:w="1453" w:type="dxa"/>
            <w:gridSpan w:val="2"/>
            <w:tcBorders>
              <w:top w:val="nil"/>
              <w:left w:val="nil"/>
              <w:bottom w:val="nil"/>
              <w:right w:val="nil"/>
            </w:tcBorders>
            <w:shd w:val="clear" w:color="auto" w:fill="C0C0C0"/>
            <w:noWrap/>
            <w:tcMar>
              <w:top w:w="0" w:type="dxa"/>
              <w:left w:w="15" w:type="dxa"/>
              <w:bottom w:w="0" w:type="dxa"/>
              <w:right w:w="15" w:type="dxa"/>
            </w:tcMar>
          </w:tcPr>
          <w:p w:rsidR="001A0AD0" w:rsidRPr="00ED6BB3" w:rsidRDefault="001A0AD0" w:rsidP="001A0AD0">
            <w:pPr>
              <w:jc w:val="right"/>
              <w:rPr>
                <w:rFonts w:ascii="Verdana" w:hAnsi="Verdana"/>
                <w:noProof/>
                <w:sz w:val="16"/>
                <w:szCs w:val="16"/>
              </w:rPr>
            </w:pPr>
          </w:p>
        </w:tc>
        <w:tc>
          <w:tcPr>
            <w:tcW w:w="413" w:type="dxa"/>
            <w:gridSpan w:val="2"/>
            <w:tcBorders>
              <w:top w:val="nil"/>
              <w:left w:val="nil"/>
              <w:bottom w:val="nil"/>
              <w:right w:val="nil"/>
            </w:tcBorders>
            <w:shd w:val="clear" w:color="auto" w:fill="C0C0C0"/>
            <w:vAlign w:val="bottom"/>
          </w:tcPr>
          <w:p w:rsidR="001A0AD0" w:rsidRPr="00ED6BB3" w:rsidRDefault="001A0AD0" w:rsidP="001A0AD0">
            <w:pPr>
              <w:jc w:val="right"/>
              <w:rPr>
                <w:rFonts w:ascii="Verdana" w:hAnsi="Verdana"/>
                <w:noProof/>
                <w:sz w:val="16"/>
                <w:szCs w:val="16"/>
              </w:rPr>
            </w:pPr>
          </w:p>
        </w:tc>
      </w:tr>
      <w:tr w:rsidR="001A0AD0" w:rsidRPr="00353FCF" w:rsidTr="00D715D2">
        <w:trPr>
          <w:gridAfter w:val="1"/>
          <w:wAfter w:w="1324" w:type="dxa"/>
          <w:trHeight w:val="285"/>
        </w:trPr>
        <w:tc>
          <w:tcPr>
            <w:tcW w:w="2992" w:type="dxa"/>
            <w:gridSpan w:val="2"/>
            <w:tcBorders>
              <w:top w:val="nil"/>
              <w:left w:val="nil"/>
              <w:bottom w:val="nil"/>
              <w:right w:val="nil"/>
            </w:tcBorders>
            <w:noWrap/>
            <w:tcMar>
              <w:top w:w="0" w:type="dxa"/>
              <w:left w:w="15" w:type="dxa"/>
              <w:bottom w:w="0" w:type="dxa"/>
              <w:right w:w="15" w:type="dxa"/>
            </w:tcMar>
            <w:vAlign w:val="bottom"/>
          </w:tcPr>
          <w:p w:rsidR="001A0AD0" w:rsidRPr="00353FCF" w:rsidRDefault="001A0AD0" w:rsidP="001A0AD0">
            <w:pPr>
              <w:jc w:val="both"/>
              <w:rPr>
                <w:rFonts w:ascii="Verdana" w:hAnsi="Verdana"/>
                <w:noProof/>
                <w:sz w:val="16"/>
                <w:szCs w:val="16"/>
                <w:lang w:val="en-GB"/>
              </w:rPr>
            </w:pPr>
            <w:r w:rsidRPr="00353FCF">
              <w:rPr>
                <w:rFonts w:ascii="Verdana" w:hAnsi="Verdana"/>
                <w:noProof/>
                <w:sz w:val="16"/>
                <w:szCs w:val="16"/>
                <w:lang w:val="en-GB"/>
              </w:rPr>
              <w:t>Contribution margin</w:t>
            </w:r>
          </w:p>
        </w:tc>
        <w:tc>
          <w:tcPr>
            <w:tcW w:w="1807" w:type="dxa"/>
            <w:gridSpan w:val="2"/>
            <w:tcBorders>
              <w:top w:val="nil"/>
              <w:left w:val="nil"/>
              <w:bottom w:val="nil"/>
              <w:right w:val="nil"/>
            </w:tcBorders>
            <w:tcMar>
              <w:top w:w="0" w:type="dxa"/>
              <w:left w:w="15" w:type="dxa"/>
              <w:bottom w:w="0" w:type="dxa"/>
              <w:right w:w="15" w:type="dxa"/>
            </w:tcMar>
            <w:vAlign w:val="bottom"/>
          </w:tcPr>
          <w:p w:rsidR="001A0AD0" w:rsidRPr="00B371D8" w:rsidRDefault="001A0AD0" w:rsidP="001A0AD0">
            <w:pPr>
              <w:jc w:val="right"/>
              <w:rPr>
                <w:rFonts w:ascii="Verdana" w:hAnsi="Verdana"/>
                <w:noProof/>
                <w:sz w:val="16"/>
                <w:szCs w:val="16"/>
              </w:rPr>
            </w:pPr>
            <w:r w:rsidRPr="00B371D8">
              <w:rPr>
                <w:rFonts w:ascii="Verdana" w:hAnsi="Verdana"/>
                <w:noProof/>
                <w:sz w:val="16"/>
                <w:szCs w:val="16"/>
              </w:rPr>
              <w:t>36</w:t>
            </w:r>
            <w:r>
              <w:rPr>
                <w:rFonts w:ascii="Verdana" w:hAnsi="Verdana"/>
                <w:noProof/>
                <w:sz w:val="16"/>
                <w:szCs w:val="16"/>
              </w:rPr>
              <w:t>.</w:t>
            </w:r>
            <w:r w:rsidRPr="00B371D8">
              <w:rPr>
                <w:rFonts w:ascii="Verdana" w:hAnsi="Verdana"/>
                <w:noProof/>
                <w:sz w:val="16"/>
                <w:szCs w:val="16"/>
              </w:rPr>
              <w:t>2%</w:t>
            </w:r>
          </w:p>
        </w:tc>
        <w:tc>
          <w:tcPr>
            <w:tcW w:w="1807" w:type="dxa"/>
            <w:gridSpan w:val="2"/>
            <w:tcBorders>
              <w:top w:val="nil"/>
              <w:left w:val="nil"/>
              <w:bottom w:val="nil"/>
              <w:right w:val="nil"/>
            </w:tcBorders>
            <w:noWrap/>
            <w:tcMar>
              <w:top w:w="0" w:type="dxa"/>
              <w:left w:w="15" w:type="dxa"/>
              <w:bottom w:w="0" w:type="dxa"/>
              <w:right w:w="15" w:type="dxa"/>
            </w:tcMar>
            <w:vAlign w:val="bottom"/>
          </w:tcPr>
          <w:p w:rsidR="001A0AD0" w:rsidRPr="00034C5D" w:rsidRDefault="001A0AD0" w:rsidP="001A0AD0">
            <w:pPr>
              <w:jc w:val="right"/>
              <w:rPr>
                <w:rFonts w:ascii="Verdana" w:hAnsi="Verdana"/>
                <w:noProof/>
                <w:sz w:val="16"/>
                <w:szCs w:val="16"/>
              </w:rPr>
            </w:pPr>
            <w:r w:rsidRPr="00034C5D">
              <w:rPr>
                <w:rFonts w:ascii="Verdana" w:hAnsi="Verdana"/>
                <w:noProof/>
                <w:sz w:val="16"/>
                <w:szCs w:val="16"/>
              </w:rPr>
              <w:t>35</w:t>
            </w:r>
            <w:r>
              <w:rPr>
                <w:rFonts w:ascii="Verdana" w:hAnsi="Verdana"/>
                <w:noProof/>
                <w:sz w:val="16"/>
                <w:szCs w:val="16"/>
              </w:rPr>
              <w:t>.</w:t>
            </w:r>
            <w:r w:rsidRPr="00034C5D">
              <w:rPr>
                <w:rFonts w:ascii="Verdana" w:hAnsi="Verdana"/>
                <w:noProof/>
                <w:sz w:val="16"/>
                <w:szCs w:val="16"/>
              </w:rPr>
              <w:t>7%</w:t>
            </w:r>
          </w:p>
        </w:tc>
        <w:tc>
          <w:tcPr>
            <w:tcW w:w="1453" w:type="dxa"/>
            <w:gridSpan w:val="2"/>
            <w:tcBorders>
              <w:top w:val="nil"/>
              <w:left w:val="nil"/>
              <w:bottom w:val="nil"/>
              <w:right w:val="nil"/>
            </w:tcBorders>
            <w:noWrap/>
            <w:tcMar>
              <w:top w:w="0" w:type="dxa"/>
              <w:left w:w="15" w:type="dxa"/>
              <w:bottom w:w="0" w:type="dxa"/>
              <w:right w:w="15" w:type="dxa"/>
            </w:tcMar>
          </w:tcPr>
          <w:p w:rsidR="001A0AD0" w:rsidRPr="00ED6BB3" w:rsidRDefault="001A0AD0" w:rsidP="001A0AD0">
            <w:pPr>
              <w:jc w:val="right"/>
              <w:rPr>
                <w:rFonts w:ascii="Verdana" w:hAnsi="Verdana"/>
                <w:noProof/>
                <w:sz w:val="16"/>
                <w:szCs w:val="16"/>
              </w:rPr>
            </w:pPr>
          </w:p>
        </w:tc>
        <w:tc>
          <w:tcPr>
            <w:tcW w:w="413" w:type="dxa"/>
            <w:gridSpan w:val="2"/>
            <w:tcBorders>
              <w:top w:val="nil"/>
              <w:left w:val="nil"/>
              <w:bottom w:val="nil"/>
              <w:right w:val="nil"/>
            </w:tcBorders>
            <w:vAlign w:val="bottom"/>
          </w:tcPr>
          <w:p w:rsidR="001A0AD0" w:rsidRPr="00B371D8" w:rsidRDefault="001A0AD0" w:rsidP="001A0AD0">
            <w:pPr>
              <w:jc w:val="right"/>
              <w:rPr>
                <w:rFonts w:ascii="Verdana" w:hAnsi="Verdana"/>
                <w:noProof/>
                <w:sz w:val="16"/>
                <w:szCs w:val="16"/>
              </w:rPr>
            </w:pPr>
          </w:p>
        </w:tc>
      </w:tr>
      <w:tr w:rsidR="001A0AD0" w:rsidRPr="00353FCF" w:rsidTr="00D715D2">
        <w:trPr>
          <w:gridAfter w:val="1"/>
          <w:wAfter w:w="1324" w:type="dxa"/>
          <w:trHeight w:val="285"/>
        </w:trPr>
        <w:tc>
          <w:tcPr>
            <w:tcW w:w="2992" w:type="dxa"/>
            <w:gridSpan w:val="2"/>
            <w:tcBorders>
              <w:top w:val="nil"/>
              <w:left w:val="nil"/>
              <w:bottom w:val="nil"/>
              <w:right w:val="nil"/>
            </w:tcBorders>
            <w:noWrap/>
            <w:tcMar>
              <w:top w:w="0" w:type="dxa"/>
              <w:left w:w="15" w:type="dxa"/>
              <w:bottom w:w="0" w:type="dxa"/>
              <w:right w:w="15" w:type="dxa"/>
            </w:tcMar>
            <w:vAlign w:val="bottom"/>
          </w:tcPr>
          <w:p w:rsidR="001A0AD0" w:rsidRPr="00353FCF" w:rsidRDefault="001A0AD0" w:rsidP="001A0AD0">
            <w:pPr>
              <w:jc w:val="both"/>
              <w:rPr>
                <w:rFonts w:ascii="Verdana" w:hAnsi="Verdana"/>
                <w:noProof/>
                <w:sz w:val="16"/>
                <w:szCs w:val="16"/>
                <w:lang w:val="en-GB"/>
              </w:rPr>
            </w:pPr>
            <w:r w:rsidRPr="00353FCF">
              <w:rPr>
                <w:rFonts w:ascii="Verdana" w:hAnsi="Verdana"/>
                <w:noProof/>
                <w:sz w:val="16"/>
                <w:szCs w:val="16"/>
                <w:lang w:val="en-GB"/>
              </w:rPr>
              <w:t>Sales &amp; marketing expenses</w:t>
            </w:r>
          </w:p>
        </w:tc>
        <w:tc>
          <w:tcPr>
            <w:tcW w:w="1807" w:type="dxa"/>
            <w:gridSpan w:val="2"/>
            <w:tcBorders>
              <w:top w:val="nil"/>
              <w:left w:val="nil"/>
              <w:bottom w:val="nil"/>
              <w:right w:val="nil"/>
            </w:tcBorders>
            <w:tcMar>
              <w:top w:w="0" w:type="dxa"/>
              <w:left w:w="15" w:type="dxa"/>
              <w:bottom w:w="0" w:type="dxa"/>
              <w:right w:w="15" w:type="dxa"/>
            </w:tcMar>
            <w:vAlign w:val="bottom"/>
          </w:tcPr>
          <w:p w:rsidR="001A0AD0" w:rsidRPr="00B371D8" w:rsidRDefault="001A0AD0" w:rsidP="001A0AD0">
            <w:pPr>
              <w:jc w:val="right"/>
              <w:rPr>
                <w:rFonts w:ascii="Verdana" w:hAnsi="Verdana"/>
                <w:noProof/>
                <w:sz w:val="16"/>
                <w:szCs w:val="16"/>
              </w:rPr>
            </w:pPr>
            <w:r w:rsidRPr="00B371D8">
              <w:rPr>
                <w:rFonts w:ascii="Verdana" w:hAnsi="Verdana"/>
                <w:noProof/>
                <w:sz w:val="16"/>
                <w:szCs w:val="16"/>
              </w:rPr>
              <w:t>12</w:t>
            </w:r>
            <w:r>
              <w:rPr>
                <w:rFonts w:ascii="Verdana" w:hAnsi="Verdana"/>
                <w:noProof/>
                <w:sz w:val="16"/>
                <w:szCs w:val="16"/>
              </w:rPr>
              <w:t>.</w:t>
            </w:r>
            <w:r w:rsidRPr="00B371D8">
              <w:rPr>
                <w:rFonts w:ascii="Verdana" w:hAnsi="Verdana"/>
                <w:noProof/>
                <w:sz w:val="16"/>
                <w:szCs w:val="16"/>
              </w:rPr>
              <w:t>6%</w:t>
            </w:r>
          </w:p>
        </w:tc>
        <w:tc>
          <w:tcPr>
            <w:tcW w:w="1807" w:type="dxa"/>
            <w:gridSpan w:val="2"/>
            <w:tcBorders>
              <w:top w:val="nil"/>
              <w:left w:val="nil"/>
              <w:bottom w:val="nil"/>
              <w:right w:val="nil"/>
            </w:tcBorders>
            <w:noWrap/>
            <w:tcMar>
              <w:top w:w="0" w:type="dxa"/>
              <w:left w:w="15" w:type="dxa"/>
              <w:bottom w:w="0" w:type="dxa"/>
              <w:right w:w="15" w:type="dxa"/>
            </w:tcMar>
            <w:vAlign w:val="bottom"/>
          </w:tcPr>
          <w:p w:rsidR="001A0AD0" w:rsidRPr="00034C5D" w:rsidRDefault="001A0AD0" w:rsidP="001A0AD0">
            <w:pPr>
              <w:jc w:val="right"/>
              <w:rPr>
                <w:rFonts w:ascii="Verdana" w:hAnsi="Verdana"/>
                <w:noProof/>
                <w:sz w:val="16"/>
                <w:szCs w:val="16"/>
              </w:rPr>
            </w:pPr>
            <w:r w:rsidRPr="00034C5D">
              <w:rPr>
                <w:rFonts w:ascii="Verdana" w:hAnsi="Verdana"/>
                <w:noProof/>
                <w:sz w:val="16"/>
                <w:szCs w:val="16"/>
              </w:rPr>
              <w:t>13</w:t>
            </w:r>
            <w:r>
              <w:rPr>
                <w:rFonts w:ascii="Verdana" w:hAnsi="Verdana"/>
                <w:noProof/>
                <w:sz w:val="16"/>
                <w:szCs w:val="16"/>
              </w:rPr>
              <w:t>.</w:t>
            </w:r>
            <w:r w:rsidRPr="00034C5D">
              <w:rPr>
                <w:rFonts w:ascii="Verdana" w:hAnsi="Verdana"/>
                <w:noProof/>
                <w:sz w:val="16"/>
                <w:szCs w:val="16"/>
              </w:rPr>
              <w:t>7%</w:t>
            </w:r>
          </w:p>
        </w:tc>
        <w:tc>
          <w:tcPr>
            <w:tcW w:w="1453" w:type="dxa"/>
            <w:gridSpan w:val="2"/>
            <w:tcBorders>
              <w:top w:val="nil"/>
              <w:left w:val="nil"/>
              <w:bottom w:val="nil"/>
              <w:right w:val="nil"/>
            </w:tcBorders>
            <w:noWrap/>
            <w:tcMar>
              <w:top w:w="0" w:type="dxa"/>
              <w:left w:w="15" w:type="dxa"/>
              <w:bottom w:w="0" w:type="dxa"/>
              <w:right w:w="15" w:type="dxa"/>
            </w:tcMar>
          </w:tcPr>
          <w:p w:rsidR="001A0AD0" w:rsidRPr="00ED6BB3" w:rsidRDefault="001A0AD0" w:rsidP="001A0AD0">
            <w:pPr>
              <w:jc w:val="right"/>
              <w:rPr>
                <w:rFonts w:ascii="Verdana" w:hAnsi="Verdana"/>
                <w:noProof/>
                <w:sz w:val="16"/>
                <w:szCs w:val="16"/>
              </w:rPr>
            </w:pPr>
          </w:p>
        </w:tc>
        <w:tc>
          <w:tcPr>
            <w:tcW w:w="413" w:type="dxa"/>
            <w:gridSpan w:val="2"/>
            <w:tcBorders>
              <w:top w:val="nil"/>
              <w:left w:val="nil"/>
              <w:bottom w:val="nil"/>
              <w:right w:val="nil"/>
            </w:tcBorders>
            <w:vAlign w:val="bottom"/>
          </w:tcPr>
          <w:p w:rsidR="001A0AD0" w:rsidRPr="00B371D8" w:rsidRDefault="001A0AD0" w:rsidP="001A0AD0">
            <w:pPr>
              <w:jc w:val="right"/>
              <w:rPr>
                <w:rFonts w:ascii="Verdana" w:hAnsi="Verdana"/>
                <w:noProof/>
                <w:sz w:val="16"/>
                <w:szCs w:val="16"/>
              </w:rPr>
            </w:pPr>
          </w:p>
        </w:tc>
      </w:tr>
      <w:tr w:rsidR="001A0AD0" w:rsidRPr="00353FCF" w:rsidTr="00D715D2">
        <w:trPr>
          <w:gridAfter w:val="1"/>
          <w:wAfter w:w="1324" w:type="dxa"/>
          <w:trHeight w:val="285"/>
        </w:trPr>
        <w:tc>
          <w:tcPr>
            <w:tcW w:w="2992" w:type="dxa"/>
            <w:gridSpan w:val="2"/>
            <w:tcBorders>
              <w:top w:val="nil"/>
              <w:left w:val="nil"/>
              <w:bottom w:val="nil"/>
              <w:right w:val="nil"/>
            </w:tcBorders>
            <w:noWrap/>
            <w:tcMar>
              <w:top w:w="0" w:type="dxa"/>
              <w:left w:w="15" w:type="dxa"/>
              <w:bottom w:w="0" w:type="dxa"/>
              <w:right w:w="15" w:type="dxa"/>
            </w:tcMar>
            <w:vAlign w:val="bottom"/>
          </w:tcPr>
          <w:p w:rsidR="001A0AD0" w:rsidRPr="00353FCF" w:rsidRDefault="001A0AD0" w:rsidP="001A0AD0">
            <w:pPr>
              <w:jc w:val="both"/>
              <w:rPr>
                <w:rFonts w:ascii="Verdana" w:hAnsi="Verdana"/>
                <w:noProof/>
                <w:sz w:val="16"/>
                <w:szCs w:val="16"/>
                <w:lang w:val="en-GB"/>
              </w:rPr>
            </w:pPr>
            <w:r w:rsidRPr="00353FCF">
              <w:rPr>
                <w:rFonts w:ascii="Verdana" w:hAnsi="Verdana"/>
                <w:noProof/>
                <w:sz w:val="16"/>
                <w:szCs w:val="16"/>
                <w:lang w:val="en-GB"/>
              </w:rPr>
              <w:t>Development expenses charged</w:t>
            </w:r>
          </w:p>
        </w:tc>
        <w:tc>
          <w:tcPr>
            <w:tcW w:w="1807" w:type="dxa"/>
            <w:gridSpan w:val="2"/>
            <w:tcBorders>
              <w:top w:val="nil"/>
              <w:left w:val="nil"/>
              <w:bottom w:val="nil"/>
              <w:right w:val="nil"/>
            </w:tcBorders>
            <w:tcMar>
              <w:top w:w="0" w:type="dxa"/>
              <w:left w:w="15" w:type="dxa"/>
              <w:bottom w:w="0" w:type="dxa"/>
              <w:right w:w="15" w:type="dxa"/>
            </w:tcMar>
            <w:vAlign w:val="bottom"/>
          </w:tcPr>
          <w:p w:rsidR="001A0AD0" w:rsidRPr="00B371D8" w:rsidRDefault="001A0AD0" w:rsidP="001A0AD0">
            <w:pPr>
              <w:jc w:val="right"/>
              <w:rPr>
                <w:rFonts w:ascii="Verdana" w:hAnsi="Verdana"/>
                <w:noProof/>
                <w:sz w:val="16"/>
                <w:szCs w:val="16"/>
              </w:rPr>
            </w:pPr>
            <w:r w:rsidRPr="00B371D8">
              <w:rPr>
                <w:rFonts w:ascii="Verdana" w:hAnsi="Verdana"/>
                <w:noProof/>
                <w:sz w:val="16"/>
                <w:szCs w:val="16"/>
              </w:rPr>
              <w:t>5</w:t>
            </w:r>
            <w:r>
              <w:rPr>
                <w:rFonts w:ascii="Verdana" w:hAnsi="Verdana"/>
                <w:noProof/>
                <w:sz w:val="16"/>
                <w:szCs w:val="16"/>
              </w:rPr>
              <w:t>.</w:t>
            </w:r>
            <w:r w:rsidRPr="00B371D8">
              <w:rPr>
                <w:rFonts w:ascii="Verdana" w:hAnsi="Verdana"/>
                <w:noProof/>
                <w:sz w:val="16"/>
                <w:szCs w:val="16"/>
              </w:rPr>
              <w:t>1%</w:t>
            </w:r>
          </w:p>
        </w:tc>
        <w:tc>
          <w:tcPr>
            <w:tcW w:w="1807" w:type="dxa"/>
            <w:gridSpan w:val="2"/>
            <w:tcBorders>
              <w:top w:val="nil"/>
              <w:left w:val="nil"/>
              <w:bottom w:val="nil"/>
              <w:right w:val="nil"/>
            </w:tcBorders>
            <w:noWrap/>
            <w:tcMar>
              <w:top w:w="0" w:type="dxa"/>
              <w:left w:w="15" w:type="dxa"/>
              <w:bottom w:w="0" w:type="dxa"/>
              <w:right w:w="15" w:type="dxa"/>
            </w:tcMar>
            <w:vAlign w:val="bottom"/>
          </w:tcPr>
          <w:p w:rsidR="001A0AD0" w:rsidRPr="00034C5D" w:rsidRDefault="001A0AD0" w:rsidP="001A0AD0">
            <w:pPr>
              <w:jc w:val="right"/>
              <w:rPr>
                <w:rFonts w:ascii="Verdana" w:hAnsi="Verdana"/>
                <w:noProof/>
                <w:sz w:val="16"/>
                <w:szCs w:val="16"/>
              </w:rPr>
            </w:pPr>
            <w:r w:rsidRPr="00034C5D">
              <w:rPr>
                <w:rFonts w:ascii="Verdana" w:hAnsi="Verdana"/>
                <w:noProof/>
                <w:sz w:val="16"/>
                <w:szCs w:val="16"/>
              </w:rPr>
              <w:t>5</w:t>
            </w:r>
            <w:r>
              <w:rPr>
                <w:rFonts w:ascii="Verdana" w:hAnsi="Verdana"/>
                <w:noProof/>
                <w:sz w:val="16"/>
                <w:szCs w:val="16"/>
              </w:rPr>
              <w:t>.</w:t>
            </w:r>
            <w:r w:rsidRPr="00034C5D">
              <w:rPr>
                <w:rFonts w:ascii="Verdana" w:hAnsi="Verdana"/>
                <w:noProof/>
                <w:sz w:val="16"/>
                <w:szCs w:val="16"/>
              </w:rPr>
              <w:t>3%</w:t>
            </w:r>
          </w:p>
        </w:tc>
        <w:tc>
          <w:tcPr>
            <w:tcW w:w="1453" w:type="dxa"/>
            <w:gridSpan w:val="2"/>
            <w:tcBorders>
              <w:top w:val="nil"/>
              <w:left w:val="nil"/>
              <w:bottom w:val="nil"/>
              <w:right w:val="nil"/>
            </w:tcBorders>
            <w:noWrap/>
            <w:tcMar>
              <w:top w:w="0" w:type="dxa"/>
              <w:left w:w="15" w:type="dxa"/>
              <w:bottom w:w="0" w:type="dxa"/>
              <w:right w:w="15" w:type="dxa"/>
            </w:tcMar>
          </w:tcPr>
          <w:p w:rsidR="001A0AD0" w:rsidRPr="00ED6BB3" w:rsidRDefault="001A0AD0" w:rsidP="001A0AD0">
            <w:pPr>
              <w:jc w:val="right"/>
              <w:rPr>
                <w:rFonts w:ascii="Verdana" w:hAnsi="Verdana"/>
                <w:noProof/>
                <w:sz w:val="16"/>
                <w:szCs w:val="16"/>
              </w:rPr>
            </w:pPr>
          </w:p>
        </w:tc>
        <w:tc>
          <w:tcPr>
            <w:tcW w:w="413" w:type="dxa"/>
            <w:gridSpan w:val="2"/>
            <w:tcBorders>
              <w:top w:val="nil"/>
              <w:left w:val="nil"/>
              <w:bottom w:val="nil"/>
              <w:right w:val="nil"/>
            </w:tcBorders>
            <w:vAlign w:val="bottom"/>
          </w:tcPr>
          <w:p w:rsidR="001A0AD0" w:rsidRPr="00B371D8" w:rsidRDefault="001A0AD0" w:rsidP="001A0AD0">
            <w:pPr>
              <w:jc w:val="right"/>
              <w:rPr>
                <w:rFonts w:ascii="Verdana" w:hAnsi="Verdana"/>
                <w:noProof/>
                <w:sz w:val="16"/>
                <w:szCs w:val="16"/>
              </w:rPr>
            </w:pPr>
          </w:p>
        </w:tc>
      </w:tr>
      <w:tr w:rsidR="001A0AD0" w:rsidRPr="00353FCF" w:rsidTr="00D715D2">
        <w:trPr>
          <w:gridAfter w:val="1"/>
          <w:wAfter w:w="1324" w:type="dxa"/>
          <w:trHeight w:val="285"/>
        </w:trPr>
        <w:tc>
          <w:tcPr>
            <w:tcW w:w="2992" w:type="dxa"/>
            <w:gridSpan w:val="2"/>
            <w:tcBorders>
              <w:top w:val="nil"/>
              <w:left w:val="nil"/>
              <w:bottom w:val="nil"/>
              <w:right w:val="nil"/>
            </w:tcBorders>
            <w:noWrap/>
            <w:tcMar>
              <w:top w:w="0" w:type="dxa"/>
              <w:left w:w="15" w:type="dxa"/>
              <w:bottom w:w="0" w:type="dxa"/>
              <w:right w:w="15" w:type="dxa"/>
            </w:tcMar>
            <w:vAlign w:val="bottom"/>
          </w:tcPr>
          <w:p w:rsidR="001A0AD0" w:rsidRPr="00353FCF" w:rsidRDefault="001A0AD0" w:rsidP="001A0AD0">
            <w:pPr>
              <w:jc w:val="both"/>
              <w:rPr>
                <w:rFonts w:ascii="Verdana" w:hAnsi="Verdana"/>
                <w:noProof/>
                <w:sz w:val="16"/>
                <w:szCs w:val="16"/>
                <w:lang w:val="en-GB"/>
              </w:rPr>
            </w:pPr>
            <w:r w:rsidRPr="00353FCF">
              <w:rPr>
                <w:rFonts w:ascii="Verdana" w:hAnsi="Verdana"/>
                <w:noProof/>
                <w:sz w:val="16"/>
                <w:szCs w:val="16"/>
                <w:lang w:val="en-GB"/>
              </w:rPr>
              <w:t>Administrative expenses</w:t>
            </w:r>
          </w:p>
        </w:tc>
        <w:tc>
          <w:tcPr>
            <w:tcW w:w="1807" w:type="dxa"/>
            <w:gridSpan w:val="2"/>
            <w:tcBorders>
              <w:top w:val="nil"/>
              <w:left w:val="nil"/>
              <w:bottom w:val="nil"/>
              <w:right w:val="nil"/>
            </w:tcBorders>
            <w:tcMar>
              <w:top w:w="0" w:type="dxa"/>
              <w:left w:w="15" w:type="dxa"/>
              <w:bottom w:w="0" w:type="dxa"/>
              <w:right w:w="15" w:type="dxa"/>
            </w:tcMar>
            <w:vAlign w:val="bottom"/>
          </w:tcPr>
          <w:p w:rsidR="001A0AD0" w:rsidRPr="00B371D8" w:rsidRDefault="001A0AD0" w:rsidP="001A0AD0">
            <w:pPr>
              <w:jc w:val="right"/>
              <w:rPr>
                <w:rFonts w:ascii="Verdana" w:hAnsi="Verdana"/>
                <w:noProof/>
                <w:sz w:val="16"/>
                <w:szCs w:val="16"/>
              </w:rPr>
            </w:pPr>
            <w:r w:rsidRPr="00B371D8">
              <w:rPr>
                <w:rFonts w:ascii="Verdana" w:hAnsi="Verdana"/>
                <w:noProof/>
                <w:sz w:val="16"/>
                <w:szCs w:val="16"/>
              </w:rPr>
              <w:t>10</w:t>
            </w:r>
            <w:r>
              <w:rPr>
                <w:rFonts w:ascii="Verdana" w:hAnsi="Verdana"/>
                <w:noProof/>
                <w:sz w:val="16"/>
                <w:szCs w:val="16"/>
              </w:rPr>
              <w:t>.</w:t>
            </w:r>
            <w:r w:rsidRPr="00B371D8">
              <w:rPr>
                <w:rFonts w:ascii="Verdana" w:hAnsi="Verdana"/>
                <w:noProof/>
                <w:sz w:val="16"/>
                <w:szCs w:val="16"/>
              </w:rPr>
              <w:t>8%</w:t>
            </w:r>
          </w:p>
        </w:tc>
        <w:tc>
          <w:tcPr>
            <w:tcW w:w="1807" w:type="dxa"/>
            <w:gridSpan w:val="2"/>
            <w:tcBorders>
              <w:top w:val="nil"/>
              <w:left w:val="nil"/>
              <w:bottom w:val="nil"/>
              <w:right w:val="nil"/>
            </w:tcBorders>
            <w:noWrap/>
            <w:tcMar>
              <w:top w:w="0" w:type="dxa"/>
              <w:left w:w="15" w:type="dxa"/>
              <w:bottom w:w="0" w:type="dxa"/>
              <w:right w:w="15" w:type="dxa"/>
            </w:tcMar>
            <w:vAlign w:val="bottom"/>
          </w:tcPr>
          <w:p w:rsidR="001A0AD0" w:rsidRPr="00034C5D" w:rsidRDefault="001A0AD0" w:rsidP="001A0AD0">
            <w:pPr>
              <w:jc w:val="right"/>
              <w:rPr>
                <w:rFonts w:ascii="Verdana" w:hAnsi="Verdana"/>
                <w:noProof/>
                <w:sz w:val="16"/>
                <w:szCs w:val="16"/>
              </w:rPr>
            </w:pPr>
            <w:r w:rsidRPr="00034C5D">
              <w:rPr>
                <w:rFonts w:ascii="Verdana" w:hAnsi="Verdana"/>
                <w:noProof/>
                <w:sz w:val="16"/>
                <w:szCs w:val="16"/>
              </w:rPr>
              <w:t>9</w:t>
            </w:r>
            <w:r>
              <w:rPr>
                <w:rFonts w:ascii="Verdana" w:hAnsi="Verdana"/>
                <w:noProof/>
                <w:sz w:val="16"/>
                <w:szCs w:val="16"/>
              </w:rPr>
              <w:t>.</w:t>
            </w:r>
            <w:r w:rsidRPr="00034C5D">
              <w:rPr>
                <w:rFonts w:ascii="Verdana" w:hAnsi="Verdana"/>
                <w:noProof/>
                <w:sz w:val="16"/>
                <w:szCs w:val="16"/>
              </w:rPr>
              <w:t>8%</w:t>
            </w:r>
          </w:p>
        </w:tc>
        <w:tc>
          <w:tcPr>
            <w:tcW w:w="1453" w:type="dxa"/>
            <w:gridSpan w:val="2"/>
            <w:tcBorders>
              <w:top w:val="nil"/>
              <w:left w:val="nil"/>
              <w:bottom w:val="nil"/>
              <w:right w:val="nil"/>
            </w:tcBorders>
            <w:noWrap/>
            <w:tcMar>
              <w:top w:w="0" w:type="dxa"/>
              <w:left w:w="15" w:type="dxa"/>
              <w:bottom w:w="0" w:type="dxa"/>
              <w:right w:w="15" w:type="dxa"/>
            </w:tcMar>
          </w:tcPr>
          <w:p w:rsidR="001A0AD0" w:rsidRPr="00ED6BB3" w:rsidRDefault="001A0AD0" w:rsidP="001A0AD0">
            <w:pPr>
              <w:jc w:val="right"/>
              <w:rPr>
                <w:rFonts w:ascii="Verdana" w:hAnsi="Verdana"/>
                <w:noProof/>
                <w:sz w:val="16"/>
                <w:szCs w:val="16"/>
              </w:rPr>
            </w:pPr>
          </w:p>
        </w:tc>
        <w:tc>
          <w:tcPr>
            <w:tcW w:w="413" w:type="dxa"/>
            <w:gridSpan w:val="2"/>
            <w:tcBorders>
              <w:top w:val="nil"/>
              <w:left w:val="nil"/>
              <w:bottom w:val="nil"/>
              <w:right w:val="nil"/>
            </w:tcBorders>
            <w:vAlign w:val="bottom"/>
          </w:tcPr>
          <w:p w:rsidR="001A0AD0" w:rsidRPr="00B371D8" w:rsidRDefault="001A0AD0" w:rsidP="001A0AD0">
            <w:pPr>
              <w:jc w:val="right"/>
              <w:rPr>
                <w:rFonts w:ascii="Verdana" w:hAnsi="Verdana"/>
                <w:noProof/>
                <w:sz w:val="16"/>
                <w:szCs w:val="16"/>
              </w:rPr>
            </w:pPr>
          </w:p>
        </w:tc>
      </w:tr>
      <w:tr w:rsidR="001A0AD0" w:rsidRPr="00353FCF" w:rsidTr="00D715D2">
        <w:trPr>
          <w:gridAfter w:val="1"/>
          <w:wAfter w:w="1324" w:type="dxa"/>
          <w:trHeight w:val="285"/>
        </w:trPr>
        <w:tc>
          <w:tcPr>
            <w:tcW w:w="2992" w:type="dxa"/>
            <w:gridSpan w:val="2"/>
            <w:tcBorders>
              <w:top w:val="nil"/>
              <w:left w:val="nil"/>
              <w:bottom w:val="nil"/>
              <w:right w:val="nil"/>
            </w:tcBorders>
            <w:noWrap/>
            <w:tcMar>
              <w:top w:w="0" w:type="dxa"/>
              <w:left w:w="15" w:type="dxa"/>
              <w:bottom w:w="0" w:type="dxa"/>
              <w:right w:w="15" w:type="dxa"/>
            </w:tcMar>
            <w:vAlign w:val="bottom"/>
          </w:tcPr>
          <w:p w:rsidR="001A0AD0" w:rsidRPr="00353FCF" w:rsidRDefault="001A0AD0" w:rsidP="001A0AD0">
            <w:pPr>
              <w:jc w:val="both"/>
              <w:rPr>
                <w:rFonts w:ascii="Verdana" w:hAnsi="Verdana"/>
                <w:noProof/>
                <w:sz w:val="16"/>
                <w:szCs w:val="16"/>
                <w:lang w:val="en-GB"/>
              </w:rPr>
            </w:pPr>
            <w:r w:rsidRPr="00353FCF">
              <w:rPr>
                <w:rFonts w:ascii="Verdana" w:hAnsi="Verdana"/>
                <w:noProof/>
                <w:sz w:val="16"/>
                <w:szCs w:val="16"/>
                <w:lang w:val="en-GB"/>
              </w:rPr>
              <w:t xml:space="preserve">EBITDA </w:t>
            </w:r>
          </w:p>
        </w:tc>
        <w:tc>
          <w:tcPr>
            <w:tcW w:w="1807" w:type="dxa"/>
            <w:gridSpan w:val="2"/>
            <w:tcBorders>
              <w:top w:val="nil"/>
              <w:left w:val="nil"/>
              <w:bottom w:val="nil"/>
              <w:right w:val="nil"/>
            </w:tcBorders>
            <w:tcMar>
              <w:top w:w="0" w:type="dxa"/>
              <w:left w:w="15" w:type="dxa"/>
              <w:bottom w:w="0" w:type="dxa"/>
              <w:right w:w="15" w:type="dxa"/>
            </w:tcMar>
            <w:vAlign w:val="bottom"/>
          </w:tcPr>
          <w:p w:rsidR="001A0AD0" w:rsidRPr="00B371D8" w:rsidRDefault="001A0AD0" w:rsidP="001A0AD0">
            <w:pPr>
              <w:jc w:val="right"/>
              <w:rPr>
                <w:rFonts w:ascii="Verdana" w:hAnsi="Verdana"/>
                <w:noProof/>
                <w:sz w:val="16"/>
                <w:szCs w:val="16"/>
              </w:rPr>
            </w:pPr>
            <w:r w:rsidRPr="00B371D8">
              <w:rPr>
                <w:rFonts w:ascii="Verdana" w:hAnsi="Verdana"/>
                <w:noProof/>
                <w:sz w:val="16"/>
                <w:szCs w:val="16"/>
              </w:rPr>
              <w:t>11</w:t>
            </w:r>
            <w:r>
              <w:rPr>
                <w:rFonts w:ascii="Verdana" w:hAnsi="Verdana"/>
                <w:noProof/>
                <w:sz w:val="16"/>
                <w:szCs w:val="16"/>
              </w:rPr>
              <w:t>.</w:t>
            </w:r>
            <w:r w:rsidRPr="00B371D8">
              <w:rPr>
                <w:rFonts w:ascii="Verdana" w:hAnsi="Verdana"/>
                <w:noProof/>
                <w:sz w:val="16"/>
                <w:szCs w:val="16"/>
              </w:rPr>
              <w:t>6%</w:t>
            </w:r>
          </w:p>
        </w:tc>
        <w:tc>
          <w:tcPr>
            <w:tcW w:w="1807" w:type="dxa"/>
            <w:gridSpan w:val="2"/>
            <w:tcBorders>
              <w:top w:val="nil"/>
              <w:left w:val="nil"/>
              <w:bottom w:val="nil"/>
              <w:right w:val="nil"/>
            </w:tcBorders>
            <w:noWrap/>
            <w:tcMar>
              <w:top w:w="0" w:type="dxa"/>
              <w:left w:w="15" w:type="dxa"/>
              <w:bottom w:w="0" w:type="dxa"/>
              <w:right w:w="15" w:type="dxa"/>
            </w:tcMar>
            <w:vAlign w:val="bottom"/>
          </w:tcPr>
          <w:p w:rsidR="001A0AD0" w:rsidRPr="00034C5D" w:rsidRDefault="001A0AD0" w:rsidP="001A0AD0">
            <w:pPr>
              <w:jc w:val="right"/>
              <w:rPr>
                <w:rFonts w:ascii="Verdana" w:hAnsi="Verdana"/>
                <w:noProof/>
                <w:sz w:val="16"/>
                <w:szCs w:val="16"/>
              </w:rPr>
            </w:pPr>
            <w:r w:rsidRPr="00034C5D">
              <w:rPr>
                <w:rFonts w:ascii="Verdana" w:hAnsi="Verdana"/>
                <w:noProof/>
                <w:sz w:val="16"/>
                <w:szCs w:val="16"/>
              </w:rPr>
              <w:t>10</w:t>
            </w:r>
            <w:r>
              <w:rPr>
                <w:rFonts w:ascii="Verdana" w:hAnsi="Verdana"/>
                <w:noProof/>
                <w:sz w:val="16"/>
                <w:szCs w:val="16"/>
              </w:rPr>
              <w:t>.</w:t>
            </w:r>
            <w:r w:rsidRPr="00034C5D">
              <w:rPr>
                <w:rFonts w:ascii="Verdana" w:hAnsi="Verdana"/>
                <w:noProof/>
                <w:sz w:val="16"/>
                <w:szCs w:val="16"/>
              </w:rPr>
              <w:t>5%</w:t>
            </w:r>
          </w:p>
        </w:tc>
        <w:tc>
          <w:tcPr>
            <w:tcW w:w="1453" w:type="dxa"/>
            <w:gridSpan w:val="2"/>
            <w:tcBorders>
              <w:top w:val="nil"/>
              <w:left w:val="nil"/>
              <w:bottom w:val="nil"/>
              <w:right w:val="nil"/>
            </w:tcBorders>
            <w:noWrap/>
            <w:tcMar>
              <w:top w:w="0" w:type="dxa"/>
              <w:left w:w="15" w:type="dxa"/>
              <w:bottom w:w="0" w:type="dxa"/>
              <w:right w:w="15" w:type="dxa"/>
            </w:tcMar>
          </w:tcPr>
          <w:p w:rsidR="001A0AD0" w:rsidRPr="00ED6BB3" w:rsidRDefault="001A0AD0" w:rsidP="001A0AD0">
            <w:pPr>
              <w:jc w:val="right"/>
              <w:rPr>
                <w:rFonts w:ascii="Verdana" w:hAnsi="Verdana"/>
                <w:noProof/>
                <w:sz w:val="16"/>
                <w:szCs w:val="16"/>
              </w:rPr>
            </w:pPr>
          </w:p>
        </w:tc>
        <w:tc>
          <w:tcPr>
            <w:tcW w:w="413" w:type="dxa"/>
            <w:gridSpan w:val="2"/>
            <w:tcBorders>
              <w:top w:val="nil"/>
              <w:left w:val="nil"/>
              <w:bottom w:val="nil"/>
              <w:right w:val="nil"/>
            </w:tcBorders>
            <w:vAlign w:val="bottom"/>
          </w:tcPr>
          <w:p w:rsidR="001A0AD0" w:rsidRPr="00B371D8" w:rsidRDefault="001A0AD0" w:rsidP="001A0AD0">
            <w:pPr>
              <w:jc w:val="right"/>
              <w:rPr>
                <w:rFonts w:ascii="Verdana" w:hAnsi="Verdana"/>
                <w:noProof/>
                <w:sz w:val="16"/>
                <w:szCs w:val="16"/>
              </w:rPr>
            </w:pPr>
          </w:p>
        </w:tc>
      </w:tr>
      <w:tr w:rsidR="001A0AD0" w:rsidRPr="00353FCF" w:rsidTr="00D715D2">
        <w:trPr>
          <w:gridAfter w:val="1"/>
          <w:wAfter w:w="1324" w:type="dxa"/>
          <w:trHeight w:val="285"/>
        </w:trPr>
        <w:tc>
          <w:tcPr>
            <w:tcW w:w="2992" w:type="dxa"/>
            <w:gridSpan w:val="2"/>
            <w:tcBorders>
              <w:top w:val="nil"/>
              <w:left w:val="nil"/>
              <w:bottom w:val="nil"/>
              <w:right w:val="nil"/>
            </w:tcBorders>
            <w:noWrap/>
            <w:tcMar>
              <w:top w:w="0" w:type="dxa"/>
              <w:left w:w="15" w:type="dxa"/>
              <w:bottom w:w="0" w:type="dxa"/>
              <w:right w:w="15" w:type="dxa"/>
            </w:tcMar>
            <w:vAlign w:val="bottom"/>
          </w:tcPr>
          <w:p w:rsidR="001A0AD0" w:rsidRPr="00353FCF" w:rsidRDefault="001A0AD0" w:rsidP="001A0AD0">
            <w:pPr>
              <w:jc w:val="both"/>
              <w:rPr>
                <w:rFonts w:ascii="Verdana" w:hAnsi="Verdana"/>
                <w:noProof/>
                <w:sz w:val="16"/>
                <w:szCs w:val="16"/>
                <w:lang w:val="en-GB"/>
              </w:rPr>
            </w:pPr>
            <w:r w:rsidRPr="00353FCF">
              <w:rPr>
                <w:rFonts w:ascii="Verdana" w:hAnsi="Verdana"/>
                <w:noProof/>
                <w:sz w:val="16"/>
                <w:szCs w:val="16"/>
                <w:lang w:val="en-GB"/>
              </w:rPr>
              <w:t xml:space="preserve">EBIT </w:t>
            </w:r>
          </w:p>
        </w:tc>
        <w:tc>
          <w:tcPr>
            <w:tcW w:w="1807" w:type="dxa"/>
            <w:gridSpan w:val="2"/>
            <w:tcBorders>
              <w:top w:val="nil"/>
              <w:left w:val="nil"/>
              <w:bottom w:val="nil"/>
              <w:right w:val="nil"/>
            </w:tcBorders>
            <w:tcMar>
              <w:top w:w="0" w:type="dxa"/>
              <w:left w:w="15" w:type="dxa"/>
              <w:bottom w:w="0" w:type="dxa"/>
              <w:right w:w="15" w:type="dxa"/>
            </w:tcMar>
            <w:vAlign w:val="bottom"/>
          </w:tcPr>
          <w:p w:rsidR="001A0AD0" w:rsidRPr="00B371D8" w:rsidRDefault="001A0AD0" w:rsidP="001A0AD0">
            <w:pPr>
              <w:jc w:val="right"/>
              <w:rPr>
                <w:rFonts w:ascii="Verdana" w:hAnsi="Verdana"/>
                <w:noProof/>
                <w:sz w:val="16"/>
                <w:szCs w:val="16"/>
              </w:rPr>
            </w:pPr>
            <w:r w:rsidRPr="00B371D8">
              <w:rPr>
                <w:rFonts w:ascii="Verdana" w:hAnsi="Verdana"/>
                <w:noProof/>
                <w:sz w:val="16"/>
                <w:szCs w:val="16"/>
              </w:rPr>
              <w:t>7</w:t>
            </w:r>
            <w:r>
              <w:rPr>
                <w:rFonts w:ascii="Verdana" w:hAnsi="Verdana"/>
                <w:noProof/>
                <w:sz w:val="16"/>
                <w:szCs w:val="16"/>
              </w:rPr>
              <w:t>.</w:t>
            </w:r>
            <w:r w:rsidRPr="00B371D8">
              <w:rPr>
                <w:rFonts w:ascii="Verdana" w:hAnsi="Verdana"/>
                <w:noProof/>
                <w:sz w:val="16"/>
                <w:szCs w:val="16"/>
              </w:rPr>
              <w:t>8%</w:t>
            </w:r>
          </w:p>
        </w:tc>
        <w:tc>
          <w:tcPr>
            <w:tcW w:w="1807" w:type="dxa"/>
            <w:gridSpan w:val="2"/>
            <w:tcBorders>
              <w:top w:val="nil"/>
              <w:left w:val="nil"/>
              <w:bottom w:val="nil"/>
              <w:right w:val="nil"/>
            </w:tcBorders>
            <w:noWrap/>
            <w:tcMar>
              <w:top w:w="0" w:type="dxa"/>
              <w:left w:w="15" w:type="dxa"/>
              <w:bottom w:w="0" w:type="dxa"/>
              <w:right w:w="15" w:type="dxa"/>
            </w:tcMar>
            <w:vAlign w:val="bottom"/>
          </w:tcPr>
          <w:p w:rsidR="001A0AD0" w:rsidRPr="00034C5D" w:rsidRDefault="001A0AD0" w:rsidP="001A0AD0">
            <w:pPr>
              <w:jc w:val="right"/>
              <w:rPr>
                <w:rFonts w:ascii="Verdana" w:hAnsi="Verdana"/>
                <w:noProof/>
                <w:sz w:val="16"/>
                <w:szCs w:val="16"/>
              </w:rPr>
            </w:pPr>
            <w:r w:rsidRPr="00034C5D">
              <w:rPr>
                <w:rFonts w:ascii="Verdana" w:hAnsi="Verdana"/>
                <w:noProof/>
                <w:sz w:val="16"/>
                <w:szCs w:val="16"/>
              </w:rPr>
              <w:t>7</w:t>
            </w:r>
            <w:r>
              <w:rPr>
                <w:rFonts w:ascii="Verdana" w:hAnsi="Verdana"/>
                <w:noProof/>
                <w:sz w:val="16"/>
                <w:szCs w:val="16"/>
              </w:rPr>
              <w:t>.</w:t>
            </w:r>
            <w:r w:rsidRPr="00034C5D">
              <w:rPr>
                <w:rFonts w:ascii="Verdana" w:hAnsi="Verdana"/>
                <w:noProof/>
                <w:sz w:val="16"/>
                <w:szCs w:val="16"/>
              </w:rPr>
              <w:t>1%</w:t>
            </w:r>
          </w:p>
        </w:tc>
        <w:tc>
          <w:tcPr>
            <w:tcW w:w="1453" w:type="dxa"/>
            <w:gridSpan w:val="2"/>
            <w:tcBorders>
              <w:top w:val="nil"/>
              <w:left w:val="nil"/>
              <w:bottom w:val="nil"/>
              <w:right w:val="nil"/>
            </w:tcBorders>
            <w:noWrap/>
            <w:tcMar>
              <w:top w:w="0" w:type="dxa"/>
              <w:left w:w="15" w:type="dxa"/>
              <w:bottom w:w="0" w:type="dxa"/>
              <w:right w:w="15" w:type="dxa"/>
            </w:tcMar>
          </w:tcPr>
          <w:p w:rsidR="001A0AD0" w:rsidRDefault="001A0AD0" w:rsidP="001A0AD0">
            <w:pPr>
              <w:jc w:val="right"/>
              <w:rPr>
                <w:rFonts w:ascii="Verdana" w:hAnsi="Verdana"/>
                <w:noProof/>
                <w:sz w:val="16"/>
                <w:szCs w:val="16"/>
              </w:rPr>
            </w:pPr>
          </w:p>
        </w:tc>
        <w:tc>
          <w:tcPr>
            <w:tcW w:w="413" w:type="dxa"/>
            <w:gridSpan w:val="2"/>
            <w:tcBorders>
              <w:top w:val="nil"/>
              <w:left w:val="nil"/>
              <w:bottom w:val="nil"/>
              <w:right w:val="nil"/>
            </w:tcBorders>
            <w:vAlign w:val="bottom"/>
          </w:tcPr>
          <w:p w:rsidR="001A0AD0" w:rsidRPr="00B371D8" w:rsidRDefault="001A0AD0" w:rsidP="001A0AD0">
            <w:pPr>
              <w:jc w:val="right"/>
              <w:rPr>
                <w:rFonts w:ascii="Verdana" w:hAnsi="Verdana"/>
                <w:noProof/>
                <w:sz w:val="16"/>
                <w:szCs w:val="16"/>
              </w:rPr>
            </w:pPr>
          </w:p>
        </w:tc>
      </w:tr>
      <w:tr w:rsidR="00726CCE" w:rsidRPr="00353FCF" w:rsidTr="00D715D2">
        <w:trPr>
          <w:gridAfter w:val="1"/>
          <w:wAfter w:w="1324" w:type="dxa"/>
          <w:trHeight w:val="285"/>
        </w:trPr>
        <w:tc>
          <w:tcPr>
            <w:tcW w:w="2992" w:type="dxa"/>
            <w:gridSpan w:val="2"/>
            <w:tcBorders>
              <w:top w:val="nil"/>
              <w:left w:val="nil"/>
              <w:bottom w:val="nil"/>
              <w:right w:val="nil"/>
            </w:tcBorders>
            <w:noWrap/>
            <w:tcMar>
              <w:top w:w="0" w:type="dxa"/>
              <w:left w:w="15" w:type="dxa"/>
              <w:bottom w:w="0" w:type="dxa"/>
              <w:right w:w="15" w:type="dxa"/>
            </w:tcMar>
            <w:vAlign w:val="bottom"/>
          </w:tcPr>
          <w:p w:rsidR="00726CCE" w:rsidRDefault="00726CCE" w:rsidP="00726CCE">
            <w:pPr>
              <w:rPr>
                <w:rFonts w:ascii="Verdana" w:hAnsi="Verdana"/>
                <w:noProof/>
                <w:sz w:val="16"/>
                <w:szCs w:val="16"/>
                <w:lang w:val="en-GB"/>
              </w:rPr>
            </w:pPr>
          </w:p>
          <w:p w:rsidR="00726CCE" w:rsidRPr="00353FCF" w:rsidRDefault="00726CCE" w:rsidP="00726CCE">
            <w:pPr>
              <w:rPr>
                <w:rFonts w:ascii="Verdana" w:hAnsi="Verdana"/>
                <w:noProof/>
                <w:sz w:val="16"/>
                <w:szCs w:val="16"/>
                <w:lang w:val="en-GB"/>
              </w:rPr>
            </w:pPr>
            <w:r>
              <w:rPr>
                <w:rFonts w:ascii="Verdana" w:hAnsi="Verdana"/>
                <w:noProof/>
                <w:sz w:val="16"/>
                <w:szCs w:val="16"/>
                <w:lang w:val="en-GB"/>
              </w:rPr>
              <w:t>EBIT excluding cost due to restructuring</w:t>
            </w:r>
          </w:p>
        </w:tc>
        <w:tc>
          <w:tcPr>
            <w:tcW w:w="1807" w:type="dxa"/>
            <w:gridSpan w:val="2"/>
            <w:tcBorders>
              <w:top w:val="nil"/>
              <w:left w:val="nil"/>
              <w:bottom w:val="nil"/>
              <w:right w:val="nil"/>
            </w:tcBorders>
            <w:tcMar>
              <w:top w:w="0" w:type="dxa"/>
              <w:left w:w="15" w:type="dxa"/>
              <w:bottom w:w="0" w:type="dxa"/>
              <w:right w:w="15" w:type="dxa"/>
            </w:tcMar>
            <w:vAlign w:val="bottom"/>
          </w:tcPr>
          <w:p w:rsidR="00726CCE" w:rsidRPr="00726CCE" w:rsidRDefault="00726CCE" w:rsidP="001A0AD0">
            <w:pPr>
              <w:jc w:val="right"/>
              <w:rPr>
                <w:rFonts w:ascii="Verdana" w:hAnsi="Verdana"/>
                <w:noProof/>
                <w:sz w:val="16"/>
                <w:szCs w:val="16"/>
                <w:lang w:val="en-GB"/>
              </w:rPr>
            </w:pPr>
            <w:r>
              <w:rPr>
                <w:rFonts w:ascii="Verdana" w:hAnsi="Verdana"/>
                <w:noProof/>
                <w:sz w:val="16"/>
                <w:szCs w:val="16"/>
                <w:lang w:val="en-GB"/>
              </w:rPr>
              <w:t>8.5%</w:t>
            </w:r>
          </w:p>
        </w:tc>
        <w:tc>
          <w:tcPr>
            <w:tcW w:w="1807" w:type="dxa"/>
            <w:gridSpan w:val="2"/>
            <w:tcBorders>
              <w:top w:val="nil"/>
              <w:left w:val="nil"/>
              <w:bottom w:val="nil"/>
              <w:right w:val="nil"/>
            </w:tcBorders>
            <w:noWrap/>
            <w:tcMar>
              <w:top w:w="0" w:type="dxa"/>
              <w:left w:w="15" w:type="dxa"/>
              <w:bottom w:w="0" w:type="dxa"/>
              <w:right w:w="15" w:type="dxa"/>
            </w:tcMar>
            <w:vAlign w:val="bottom"/>
          </w:tcPr>
          <w:p w:rsidR="00726CCE" w:rsidRPr="00034C5D" w:rsidRDefault="00726CCE" w:rsidP="001A0AD0">
            <w:pPr>
              <w:jc w:val="right"/>
              <w:rPr>
                <w:rFonts w:ascii="Verdana" w:hAnsi="Verdana"/>
                <w:noProof/>
                <w:sz w:val="16"/>
                <w:szCs w:val="16"/>
              </w:rPr>
            </w:pPr>
            <w:r>
              <w:rPr>
                <w:rFonts w:ascii="Verdana" w:hAnsi="Verdana"/>
                <w:noProof/>
                <w:sz w:val="16"/>
                <w:szCs w:val="16"/>
              </w:rPr>
              <w:t>7.1%</w:t>
            </w:r>
          </w:p>
        </w:tc>
        <w:tc>
          <w:tcPr>
            <w:tcW w:w="1453" w:type="dxa"/>
            <w:gridSpan w:val="2"/>
            <w:tcBorders>
              <w:top w:val="nil"/>
              <w:left w:val="nil"/>
              <w:bottom w:val="nil"/>
              <w:right w:val="nil"/>
            </w:tcBorders>
            <w:noWrap/>
            <w:tcMar>
              <w:top w:w="0" w:type="dxa"/>
              <w:left w:w="15" w:type="dxa"/>
              <w:bottom w:w="0" w:type="dxa"/>
              <w:right w:w="15" w:type="dxa"/>
            </w:tcMar>
          </w:tcPr>
          <w:p w:rsidR="00726CCE" w:rsidRDefault="00726CCE" w:rsidP="001A0AD0">
            <w:pPr>
              <w:jc w:val="right"/>
              <w:rPr>
                <w:rFonts w:ascii="Verdana" w:hAnsi="Verdana"/>
                <w:noProof/>
                <w:sz w:val="16"/>
                <w:szCs w:val="16"/>
              </w:rPr>
            </w:pPr>
          </w:p>
        </w:tc>
        <w:tc>
          <w:tcPr>
            <w:tcW w:w="413" w:type="dxa"/>
            <w:gridSpan w:val="2"/>
            <w:tcBorders>
              <w:top w:val="nil"/>
              <w:left w:val="nil"/>
              <w:bottom w:val="nil"/>
              <w:right w:val="nil"/>
            </w:tcBorders>
            <w:vAlign w:val="bottom"/>
          </w:tcPr>
          <w:p w:rsidR="00726CCE" w:rsidRPr="00B371D8" w:rsidRDefault="00726CCE" w:rsidP="001A0AD0">
            <w:pPr>
              <w:jc w:val="right"/>
              <w:rPr>
                <w:rFonts w:ascii="Verdana" w:hAnsi="Verdana"/>
                <w:noProof/>
                <w:sz w:val="16"/>
                <w:szCs w:val="16"/>
              </w:rPr>
            </w:pPr>
          </w:p>
        </w:tc>
      </w:tr>
    </w:tbl>
    <w:p w:rsidR="001A0AD0" w:rsidRPr="00353FCF" w:rsidRDefault="001A0AD0" w:rsidP="001A0AD0">
      <w:pPr>
        <w:autoSpaceDE w:val="0"/>
        <w:autoSpaceDN w:val="0"/>
        <w:adjustRightInd w:val="0"/>
        <w:rPr>
          <w:rFonts w:ascii="Verdana" w:hAnsi="Verdana" w:cs="Verdana"/>
          <w:b/>
          <w:bCs/>
          <w:color w:val="000000"/>
          <w:sz w:val="22"/>
          <w:szCs w:val="22"/>
          <w:lang w:val="en-GB"/>
        </w:rPr>
      </w:pPr>
    </w:p>
    <w:p w:rsidR="00FD088F" w:rsidRPr="00353FCF" w:rsidRDefault="00FD088F" w:rsidP="006452AA">
      <w:pPr>
        <w:autoSpaceDE w:val="0"/>
        <w:autoSpaceDN w:val="0"/>
        <w:adjustRightInd w:val="0"/>
        <w:jc w:val="both"/>
        <w:rPr>
          <w:rFonts w:ascii="Verdana" w:hAnsi="Verdana" w:cs="Verdana"/>
          <w:sz w:val="16"/>
          <w:szCs w:val="16"/>
          <w:lang w:val="en-GB"/>
        </w:rPr>
      </w:pPr>
    </w:p>
    <w:p w:rsidR="00FD088F" w:rsidRPr="00353FCF" w:rsidRDefault="00FD088F" w:rsidP="006452AA">
      <w:pPr>
        <w:autoSpaceDE w:val="0"/>
        <w:autoSpaceDN w:val="0"/>
        <w:adjustRightInd w:val="0"/>
        <w:jc w:val="both"/>
        <w:rPr>
          <w:rFonts w:ascii="Verdana" w:hAnsi="Verdana" w:cs="Verdana"/>
          <w:sz w:val="16"/>
          <w:szCs w:val="16"/>
          <w:lang w:val="en-GB"/>
        </w:rPr>
      </w:pPr>
    </w:p>
    <w:p w:rsidR="00B17B5F" w:rsidRPr="00353FCF" w:rsidRDefault="00B17B5F" w:rsidP="00DB04EA">
      <w:pPr>
        <w:autoSpaceDE w:val="0"/>
        <w:autoSpaceDN w:val="0"/>
        <w:adjustRightInd w:val="0"/>
        <w:rPr>
          <w:rFonts w:ascii="Verdana" w:hAnsi="Verdana" w:cs="Verdana"/>
          <w:b/>
          <w:bCs/>
          <w:color w:val="000000"/>
          <w:sz w:val="22"/>
          <w:szCs w:val="22"/>
          <w:lang w:val="en-GB"/>
        </w:rPr>
      </w:pPr>
    </w:p>
    <w:p w:rsidR="001D0DF2" w:rsidRDefault="001D0DF2" w:rsidP="008C342C">
      <w:pPr>
        <w:autoSpaceDE w:val="0"/>
        <w:autoSpaceDN w:val="0"/>
        <w:adjustRightInd w:val="0"/>
        <w:rPr>
          <w:rFonts w:ascii="Verdana" w:hAnsi="Verdana" w:cs="Verdana"/>
          <w:b/>
          <w:bCs/>
          <w:color w:val="000000"/>
          <w:sz w:val="22"/>
          <w:szCs w:val="22"/>
          <w:lang w:val="en-GB"/>
        </w:rPr>
      </w:pPr>
    </w:p>
    <w:p w:rsidR="001D0DF2" w:rsidRDefault="001D0DF2" w:rsidP="008C342C">
      <w:pPr>
        <w:autoSpaceDE w:val="0"/>
        <w:autoSpaceDN w:val="0"/>
        <w:adjustRightInd w:val="0"/>
        <w:rPr>
          <w:rFonts w:ascii="Verdana" w:hAnsi="Verdana" w:cs="Verdana"/>
          <w:b/>
          <w:bCs/>
          <w:color w:val="000000"/>
          <w:sz w:val="22"/>
          <w:szCs w:val="22"/>
          <w:lang w:val="en-GB"/>
        </w:rPr>
      </w:pPr>
    </w:p>
    <w:p w:rsidR="00C8268C" w:rsidRDefault="00C8268C" w:rsidP="008C342C">
      <w:pPr>
        <w:autoSpaceDE w:val="0"/>
        <w:autoSpaceDN w:val="0"/>
        <w:adjustRightInd w:val="0"/>
        <w:rPr>
          <w:rFonts w:ascii="Verdana" w:hAnsi="Verdana" w:cs="Verdana"/>
          <w:b/>
          <w:bCs/>
          <w:color w:val="000000"/>
          <w:sz w:val="22"/>
          <w:szCs w:val="22"/>
          <w:lang w:val="en-GB"/>
        </w:rPr>
      </w:pPr>
    </w:p>
    <w:p w:rsidR="001D0DF2" w:rsidRDefault="001D0DF2" w:rsidP="008C342C">
      <w:pPr>
        <w:autoSpaceDE w:val="0"/>
        <w:autoSpaceDN w:val="0"/>
        <w:adjustRightInd w:val="0"/>
        <w:rPr>
          <w:rFonts w:ascii="Verdana" w:hAnsi="Verdana" w:cs="Verdana"/>
          <w:b/>
          <w:bCs/>
          <w:color w:val="000000"/>
          <w:sz w:val="22"/>
          <w:szCs w:val="22"/>
          <w:lang w:val="en-GB"/>
        </w:rPr>
      </w:pPr>
    </w:p>
    <w:p w:rsidR="00726CCE" w:rsidRDefault="00726CCE" w:rsidP="008C342C">
      <w:pPr>
        <w:autoSpaceDE w:val="0"/>
        <w:autoSpaceDN w:val="0"/>
        <w:adjustRightInd w:val="0"/>
        <w:rPr>
          <w:rFonts w:ascii="Verdana" w:hAnsi="Verdana" w:cs="Verdana"/>
          <w:b/>
          <w:bCs/>
          <w:color w:val="000000"/>
          <w:sz w:val="22"/>
          <w:szCs w:val="22"/>
          <w:lang w:val="en-GB"/>
        </w:rPr>
      </w:pPr>
    </w:p>
    <w:p w:rsidR="00726CCE" w:rsidRDefault="00726CCE" w:rsidP="008C342C">
      <w:pPr>
        <w:autoSpaceDE w:val="0"/>
        <w:autoSpaceDN w:val="0"/>
        <w:adjustRightInd w:val="0"/>
        <w:rPr>
          <w:rFonts w:ascii="Verdana" w:hAnsi="Verdana" w:cs="Verdana"/>
          <w:b/>
          <w:bCs/>
          <w:color w:val="000000"/>
          <w:sz w:val="22"/>
          <w:szCs w:val="22"/>
          <w:lang w:val="en-GB"/>
        </w:rPr>
      </w:pPr>
    </w:p>
    <w:tbl>
      <w:tblPr>
        <w:tblpPr w:leftFromText="180" w:rightFromText="180" w:vertAnchor="text" w:horzAnchor="margin" w:tblpY="87"/>
        <w:tblOverlap w:val="never"/>
        <w:tblW w:w="9796" w:type="dxa"/>
        <w:tblLayout w:type="fixed"/>
        <w:tblLook w:val="0000"/>
      </w:tblPr>
      <w:tblGrid>
        <w:gridCol w:w="1807"/>
        <w:gridCol w:w="1469"/>
        <w:gridCol w:w="1807"/>
        <w:gridCol w:w="1453"/>
        <w:gridCol w:w="354"/>
        <w:gridCol w:w="922"/>
        <w:gridCol w:w="283"/>
        <w:gridCol w:w="248"/>
        <w:gridCol w:w="1453"/>
      </w:tblGrid>
      <w:tr w:rsidR="00D856F2" w:rsidRPr="00353FCF" w:rsidTr="00D856F2">
        <w:trPr>
          <w:trHeight w:val="360"/>
        </w:trPr>
        <w:tc>
          <w:tcPr>
            <w:tcW w:w="1807" w:type="dxa"/>
            <w:tcBorders>
              <w:top w:val="nil"/>
              <w:left w:val="nil"/>
              <w:bottom w:val="single" w:sz="4" w:space="0" w:color="auto"/>
              <w:right w:val="nil"/>
            </w:tcBorders>
            <w:shd w:val="clear" w:color="auto" w:fill="003366"/>
          </w:tcPr>
          <w:p w:rsidR="00D856F2" w:rsidRPr="00353FCF" w:rsidRDefault="00D856F2" w:rsidP="00D856F2">
            <w:pPr>
              <w:rPr>
                <w:rFonts w:ascii="Verdana" w:hAnsi="Verdana"/>
                <w:b/>
                <w:noProof/>
                <w:sz w:val="16"/>
                <w:szCs w:val="16"/>
                <w:lang w:val="en-GB"/>
              </w:rPr>
            </w:pPr>
          </w:p>
        </w:tc>
        <w:tc>
          <w:tcPr>
            <w:tcW w:w="6536" w:type="dxa"/>
            <w:gridSpan w:val="7"/>
            <w:tcBorders>
              <w:top w:val="nil"/>
              <w:left w:val="nil"/>
              <w:bottom w:val="single" w:sz="4" w:space="0" w:color="auto"/>
              <w:right w:val="nil"/>
            </w:tcBorders>
            <w:shd w:val="clear" w:color="auto" w:fill="003366"/>
            <w:noWrap/>
            <w:tcMar>
              <w:top w:w="0" w:type="dxa"/>
              <w:left w:w="15" w:type="dxa"/>
              <w:bottom w:w="0" w:type="dxa"/>
              <w:right w:w="15" w:type="dxa"/>
            </w:tcMar>
            <w:vAlign w:val="bottom"/>
          </w:tcPr>
          <w:p w:rsidR="00D856F2" w:rsidRPr="00353FCF" w:rsidRDefault="00D856F2" w:rsidP="00D856F2">
            <w:pPr>
              <w:rPr>
                <w:rFonts w:ascii="Verdana" w:hAnsi="Verdana"/>
                <w:b/>
                <w:noProof/>
                <w:sz w:val="16"/>
                <w:szCs w:val="16"/>
                <w:lang w:val="en-GB"/>
              </w:rPr>
            </w:pPr>
            <w:r w:rsidRPr="00353FCF">
              <w:rPr>
                <w:rFonts w:ascii="Verdana" w:hAnsi="Verdana"/>
                <w:b/>
                <w:noProof/>
                <w:sz w:val="16"/>
                <w:szCs w:val="16"/>
                <w:lang w:val="en-GB"/>
              </w:rPr>
              <w:t>Proforma operations for Q4 – main results in thous. of euros</w:t>
            </w:r>
          </w:p>
        </w:tc>
        <w:tc>
          <w:tcPr>
            <w:tcW w:w="1453" w:type="dxa"/>
            <w:tcBorders>
              <w:top w:val="nil"/>
              <w:left w:val="nil"/>
              <w:bottom w:val="single" w:sz="4" w:space="0" w:color="auto"/>
              <w:right w:val="nil"/>
            </w:tcBorders>
            <w:shd w:val="clear" w:color="auto" w:fill="003366"/>
          </w:tcPr>
          <w:p w:rsidR="00D856F2" w:rsidRPr="00353FCF" w:rsidRDefault="00D856F2" w:rsidP="00D856F2">
            <w:pPr>
              <w:rPr>
                <w:rFonts w:ascii="Verdana" w:hAnsi="Verdana"/>
                <w:b/>
                <w:noProof/>
                <w:sz w:val="16"/>
                <w:szCs w:val="16"/>
                <w:lang w:val="en-GB"/>
              </w:rPr>
            </w:pPr>
          </w:p>
        </w:tc>
      </w:tr>
      <w:tr w:rsidR="00D856F2" w:rsidRPr="00353FCF" w:rsidTr="00D856F2">
        <w:trPr>
          <w:trHeight w:val="300"/>
        </w:trPr>
        <w:tc>
          <w:tcPr>
            <w:tcW w:w="3276" w:type="dxa"/>
            <w:gridSpan w:val="2"/>
            <w:tcBorders>
              <w:top w:val="nil"/>
              <w:left w:val="nil"/>
              <w:bottom w:val="nil"/>
              <w:right w:val="nil"/>
            </w:tcBorders>
            <w:noWrap/>
            <w:tcMar>
              <w:top w:w="0" w:type="dxa"/>
              <w:left w:w="15" w:type="dxa"/>
              <w:bottom w:w="0" w:type="dxa"/>
              <w:right w:w="15" w:type="dxa"/>
            </w:tcMar>
            <w:vAlign w:val="bottom"/>
          </w:tcPr>
          <w:p w:rsidR="00D856F2" w:rsidRPr="00353FCF" w:rsidRDefault="00D856F2" w:rsidP="00D856F2">
            <w:pPr>
              <w:rPr>
                <w:rFonts w:ascii="Verdana" w:hAnsi="Verdana"/>
                <w:noProof/>
                <w:sz w:val="16"/>
                <w:szCs w:val="16"/>
                <w:lang w:val="en-GB"/>
              </w:rPr>
            </w:pPr>
          </w:p>
        </w:tc>
        <w:tc>
          <w:tcPr>
            <w:tcW w:w="1807" w:type="dxa"/>
            <w:tcBorders>
              <w:top w:val="nil"/>
              <w:left w:val="nil"/>
              <w:bottom w:val="nil"/>
              <w:right w:val="nil"/>
            </w:tcBorders>
            <w:tcMar>
              <w:top w:w="0" w:type="dxa"/>
              <w:left w:w="15" w:type="dxa"/>
              <w:bottom w:w="0" w:type="dxa"/>
              <w:right w:w="15" w:type="dxa"/>
            </w:tcMar>
          </w:tcPr>
          <w:p w:rsidR="00D856F2" w:rsidRPr="00353FCF" w:rsidRDefault="00D856F2" w:rsidP="00D856F2">
            <w:pPr>
              <w:jc w:val="right"/>
              <w:rPr>
                <w:rFonts w:ascii="Verdana" w:hAnsi="Verdana"/>
                <w:noProof/>
                <w:sz w:val="16"/>
                <w:szCs w:val="16"/>
                <w:lang w:val="en-GB"/>
              </w:rPr>
            </w:pPr>
          </w:p>
        </w:tc>
        <w:tc>
          <w:tcPr>
            <w:tcW w:w="1807" w:type="dxa"/>
            <w:gridSpan w:val="2"/>
            <w:tcBorders>
              <w:top w:val="nil"/>
              <w:left w:val="nil"/>
              <w:bottom w:val="nil"/>
              <w:right w:val="nil"/>
            </w:tcBorders>
            <w:noWrap/>
            <w:tcMar>
              <w:top w:w="0" w:type="dxa"/>
              <w:left w:w="15" w:type="dxa"/>
              <w:bottom w:w="0" w:type="dxa"/>
              <w:right w:w="15" w:type="dxa"/>
            </w:tcMar>
            <w:vAlign w:val="bottom"/>
          </w:tcPr>
          <w:p w:rsidR="00D856F2" w:rsidRPr="00353FCF" w:rsidRDefault="00D856F2" w:rsidP="00D856F2">
            <w:pPr>
              <w:jc w:val="right"/>
              <w:rPr>
                <w:rFonts w:ascii="Verdana" w:hAnsi="Verdana"/>
                <w:noProof/>
                <w:sz w:val="16"/>
                <w:szCs w:val="16"/>
                <w:lang w:val="en-GB"/>
              </w:rPr>
            </w:pPr>
          </w:p>
        </w:tc>
        <w:tc>
          <w:tcPr>
            <w:tcW w:w="1453" w:type="dxa"/>
            <w:gridSpan w:val="3"/>
            <w:tcBorders>
              <w:top w:val="nil"/>
              <w:left w:val="nil"/>
              <w:bottom w:val="nil"/>
              <w:right w:val="nil"/>
            </w:tcBorders>
            <w:noWrap/>
            <w:tcMar>
              <w:top w:w="0" w:type="dxa"/>
              <w:left w:w="15" w:type="dxa"/>
              <w:bottom w:w="0" w:type="dxa"/>
              <w:right w:w="15" w:type="dxa"/>
            </w:tcMar>
            <w:vAlign w:val="bottom"/>
          </w:tcPr>
          <w:p w:rsidR="00D856F2" w:rsidRPr="00353FCF" w:rsidRDefault="00D856F2" w:rsidP="00D856F2">
            <w:pPr>
              <w:jc w:val="right"/>
              <w:rPr>
                <w:rFonts w:ascii="Verdana" w:hAnsi="Verdana"/>
                <w:noProof/>
                <w:sz w:val="16"/>
                <w:szCs w:val="16"/>
                <w:lang w:val="en-GB"/>
              </w:rPr>
            </w:pPr>
          </w:p>
        </w:tc>
        <w:tc>
          <w:tcPr>
            <w:tcW w:w="1453" w:type="dxa"/>
            <w:tcBorders>
              <w:top w:val="nil"/>
              <w:left w:val="nil"/>
              <w:bottom w:val="nil"/>
              <w:right w:val="nil"/>
            </w:tcBorders>
          </w:tcPr>
          <w:p w:rsidR="00D856F2" w:rsidRPr="00353FCF" w:rsidRDefault="00D856F2" w:rsidP="00D856F2">
            <w:pPr>
              <w:jc w:val="right"/>
              <w:rPr>
                <w:rFonts w:ascii="Verdana" w:hAnsi="Verdana"/>
                <w:noProof/>
                <w:sz w:val="16"/>
                <w:szCs w:val="16"/>
                <w:lang w:val="en-GB"/>
              </w:rPr>
            </w:pPr>
          </w:p>
        </w:tc>
      </w:tr>
      <w:tr w:rsidR="00D856F2" w:rsidRPr="00353FCF" w:rsidTr="00D856F2">
        <w:trPr>
          <w:gridAfter w:val="2"/>
          <w:wAfter w:w="1701" w:type="dxa"/>
          <w:trHeight w:val="300"/>
        </w:trPr>
        <w:tc>
          <w:tcPr>
            <w:tcW w:w="3276" w:type="dxa"/>
            <w:gridSpan w:val="2"/>
            <w:tcBorders>
              <w:top w:val="nil"/>
              <w:left w:val="nil"/>
              <w:bottom w:val="nil"/>
              <w:right w:val="nil"/>
            </w:tcBorders>
            <w:shd w:val="clear" w:color="auto" w:fill="C0C0C0"/>
            <w:noWrap/>
            <w:tcMar>
              <w:top w:w="15" w:type="dxa"/>
              <w:left w:w="15" w:type="dxa"/>
              <w:bottom w:w="0" w:type="dxa"/>
              <w:right w:w="15" w:type="dxa"/>
            </w:tcMar>
            <w:vAlign w:val="bottom"/>
          </w:tcPr>
          <w:p w:rsidR="00D856F2" w:rsidRPr="00353FCF" w:rsidRDefault="00D856F2" w:rsidP="00D856F2">
            <w:pPr>
              <w:rPr>
                <w:rFonts w:ascii="Verdana" w:hAnsi="Verdana"/>
                <w:b/>
                <w:noProof/>
                <w:sz w:val="16"/>
                <w:szCs w:val="16"/>
                <w:lang w:val="en-GB"/>
              </w:rPr>
            </w:pPr>
            <w:r w:rsidRPr="00353FCF">
              <w:rPr>
                <w:rFonts w:ascii="Verdana" w:hAnsi="Verdana"/>
                <w:b/>
                <w:noProof/>
                <w:sz w:val="16"/>
                <w:szCs w:val="16"/>
                <w:lang w:val="en-GB"/>
              </w:rPr>
              <w:t>Operating results</w:t>
            </w:r>
          </w:p>
        </w:tc>
        <w:tc>
          <w:tcPr>
            <w:tcW w:w="1807" w:type="dxa"/>
            <w:tcBorders>
              <w:top w:val="nil"/>
              <w:left w:val="nil"/>
              <w:bottom w:val="nil"/>
              <w:right w:val="nil"/>
            </w:tcBorders>
            <w:shd w:val="clear" w:color="auto" w:fill="C0C0C0"/>
            <w:tcMar>
              <w:top w:w="15" w:type="dxa"/>
              <w:left w:w="15" w:type="dxa"/>
              <w:bottom w:w="0" w:type="dxa"/>
              <w:right w:w="15" w:type="dxa"/>
            </w:tcMar>
            <w:vAlign w:val="bottom"/>
          </w:tcPr>
          <w:p w:rsidR="00D856F2" w:rsidRPr="00B81E0F" w:rsidRDefault="00D856F2" w:rsidP="00D856F2">
            <w:pPr>
              <w:jc w:val="right"/>
              <w:rPr>
                <w:rFonts w:ascii="Verdana" w:hAnsi="Verdana"/>
                <w:b/>
                <w:noProof/>
                <w:sz w:val="16"/>
                <w:szCs w:val="16"/>
              </w:rPr>
            </w:pPr>
            <w:r w:rsidRPr="00B81E0F">
              <w:rPr>
                <w:rFonts w:ascii="Verdana" w:hAnsi="Verdana"/>
                <w:b/>
                <w:noProof/>
                <w:sz w:val="16"/>
                <w:szCs w:val="16"/>
              </w:rPr>
              <w:t>2008</w:t>
            </w:r>
          </w:p>
        </w:tc>
        <w:tc>
          <w:tcPr>
            <w:tcW w:w="1453" w:type="dxa"/>
            <w:tcBorders>
              <w:top w:val="nil"/>
              <w:left w:val="nil"/>
              <w:bottom w:val="nil"/>
              <w:right w:val="nil"/>
            </w:tcBorders>
            <w:shd w:val="clear" w:color="auto" w:fill="C0C0C0"/>
            <w:noWrap/>
            <w:tcMar>
              <w:top w:w="15" w:type="dxa"/>
              <w:left w:w="15" w:type="dxa"/>
              <w:bottom w:w="0" w:type="dxa"/>
              <w:right w:w="15" w:type="dxa"/>
            </w:tcMar>
            <w:vAlign w:val="bottom"/>
          </w:tcPr>
          <w:p w:rsidR="00D856F2" w:rsidRPr="00B81E0F" w:rsidRDefault="00D856F2" w:rsidP="00D856F2">
            <w:pPr>
              <w:jc w:val="right"/>
              <w:rPr>
                <w:rFonts w:ascii="Verdana" w:hAnsi="Verdana"/>
                <w:b/>
                <w:noProof/>
                <w:sz w:val="16"/>
                <w:szCs w:val="16"/>
              </w:rPr>
            </w:pPr>
            <w:r w:rsidRPr="00B81E0F">
              <w:rPr>
                <w:rFonts w:ascii="Verdana" w:hAnsi="Verdana"/>
                <w:b/>
                <w:noProof/>
                <w:sz w:val="16"/>
                <w:szCs w:val="16"/>
              </w:rPr>
              <w:t>2007</w:t>
            </w:r>
          </w:p>
        </w:tc>
        <w:tc>
          <w:tcPr>
            <w:tcW w:w="1276" w:type="dxa"/>
            <w:gridSpan w:val="2"/>
            <w:tcBorders>
              <w:top w:val="nil"/>
              <w:left w:val="nil"/>
              <w:bottom w:val="nil"/>
              <w:right w:val="nil"/>
            </w:tcBorders>
            <w:shd w:val="clear" w:color="auto" w:fill="C0C0C0"/>
            <w:noWrap/>
            <w:tcMar>
              <w:top w:w="15" w:type="dxa"/>
              <w:left w:w="15" w:type="dxa"/>
              <w:bottom w:w="0" w:type="dxa"/>
              <w:right w:w="15" w:type="dxa"/>
            </w:tcMar>
            <w:vAlign w:val="bottom"/>
          </w:tcPr>
          <w:p w:rsidR="00D856F2" w:rsidRPr="00B81E0F" w:rsidRDefault="00E40DBA" w:rsidP="00D856F2">
            <w:pPr>
              <w:jc w:val="right"/>
              <w:rPr>
                <w:rFonts w:ascii="Verdana" w:hAnsi="Verdana"/>
                <w:b/>
                <w:noProof/>
                <w:sz w:val="16"/>
                <w:szCs w:val="16"/>
              </w:rPr>
            </w:pPr>
            <w:r>
              <w:rPr>
                <w:rFonts w:ascii="Verdana" w:hAnsi="Verdana"/>
                <w:b/>
                <w:noProof/>
                <w:sz w:val="16"/>
                <w:szCs w:val="16"/>
              </w:rPr>
              <w:t>Change</w:t>
            </w:r>
            <w:r w:rsidR="00D856F2" w:rsidRPr="00B81E0F">
              <w:rPr>
                <w:rFonts w:ascii="Verdana" w:hAnsi="Verdana"/>
                <w:b/>
                <w:noProof/>
                <w:sz w:val="16"/>
                <w:szCs w:val="16"/>
              </w:rPr>
              <w:t xml:space="preserve"> %</w:t>
            </w:r>
          </w:p>
        </w:tc>
        <w:tc>
          <w:tcPr>
            <w:tcW w:w="283" w:type="dxa"/>
            <w:tcBorders>
              <w:top w:val="nil"/>
              <w:left w:val="nil"/>
              <w:bottom w:val="nil"/>
              <w:right w:val="nil"/>
            </w:tcBorders>
            <w:shd w:val="clear" w:color="auto" w:fill="C0C0C0"/>
            <w:vAlign w:val="bottom"/>
          </w:tcPr>
          <w:p w:rsidR="00D856F2" w:rsidRPr="00353FCF" w:rsidRDefault="00D856F2" w:rsidP="00D856F2">
            <w:pPr>
              <w:jc w:val="right"/>
              <w:rPr>
                <w:rFonts w:ascii="Verdana" w:hAnsi="Verdana"/>
                <w:b/>
                <w:noProof/>
                <w:sz w:val="16"/>
                <w:szCs w:val="16"/>
                <w:lang w:val="en-GB"/>
              </w:rPr>
            </w:pPr>
          </w:p>
        </w:tc>
      </w:tr>
      <w:tr w:rsidR="00D856F2" w:rsidRPr="00353FCF" w:rsidTr="00D856F2">
        <w:trPr>
          <w:gridAfter w:val="2"/>
          <w:wAfter w:w="1701" w:type="dxa"/>
          <w:trHeight w:val="285"/>
        </w:trPr>
        <w:tc>
          <w:tcPr>
            <w:tcW w:w="3276" w:type="dxa"/>
            <w:gridSpan w:val="2"/>
            <w:tcBorders>
              <w:top w:val="nil"/>
              <w:left w:val="nil"/>
              <w:bottom w:val="nil"/>
              <w:right w:val="nil"/>
            </w:tcBorders>
            <w:noWrap/>
            <w:tcMar>
              <w:top w:w="0" w:type="dxa"/>
              <w:left w:w="15" w:type="dxa"/>
              <w:bottom w:w="0" w:type="dxa"/>
              <w:right w:w="15" w:type="dxa"/>
            </w:tcMar>
            <w:vAlign w:val="bottom"/>
          </w:tcPr>
          <w:p w:rsidR="00D856F2" w:rsidRPr="00353FCF" w:rsidRDefault="00D856F2" w:rsidP="00D856F2">
            <w:pPr>
              <w:jc w:val="both"/>
              <w:rPr>
                <w:rFonts w:ascii="Verdana" w:hAnsi="Verdana"/>
                <w:noProof/>
                <w:sz w:val="16"/>
                <w:szCs w:val="16"/>
                <w:lang w:val="en-GB"/>
              </w:rPr>
            </w:pPr>
            <w:r w:rsidRPr="00353FCF">
              <w:rPr>
                <w:rFonts w:ascii="Verdana" w:hAnsi="Verdana"/>
                <w:noProof/>
                <w:sz w:val="16"/>
                <w:szCs w:val="16"/>
                <w:lang w:val="en-GB"/>
              </w:rPr>
              <w:t>Sales</w:t>
            </w:r>
          </w:p>
        </w:tc>
        <w:tc>
          <w:tcPr>
            <w:tcW w:w="1807" w:type="dxa"/>
            <w:tcBorders>
              <w:top w:val="nil"/>
              <w:left w:val="nil"/>
              <w:bottom w:val="nil"/>
              <w:right w:val="nil"/>
            </w:tcBorders>
            <w:tcMar>
              <w:top w:w="0" w:type="dxa"/>
              <w:left w:w="15" w:type="dxa"/>
              <w:bottom w:w="0" w:type="dxa"/>
              <w:right w:w="15" w:type="dxa"/>
            </w:tcMar>
            <w:vAlign w:val="bottom"/>
          </w:tcPr>
          <w:p w:rsidR="00D856F2" w:rsidRPr="00CA6FC7" w:rsidRDefault="00D856F2" w:rsidP="00D856F2">
            <w:pPr>
              <w:jc w:val="right"/>
              <w:rPr>
                <w:rFonts w:ascii="Verdana" w:hAnsi="Verdana"/>
                <w:noProof/>
                <w:sz w:val="16"/>
                <w:szCs w:val="16"/>
              </w:rPr>
            </w:pPr>
            <w:r w:rsidRPr="00CA6FC7">
              <w:rPr>
                <w:rFonts w:ascii="Verdana" w:hAnsi="Verdana"/>
                <w:noProof/>
                <w:sz w:val="16"/>
                <w:szCs w:val="16"/>
              </w:rPr>
              <w:t>138</w:t>
            </w:r>
            <w:r>
              <w:rPr>
                <w:rFonts w:ascii="Verdana" w:hAnsi="Verdana"/>
                <w:noProof/>
                <w:sz w:val="16"/>
                <w:szCs w:val="16"/>
              </w:rPr>
              <w:t>,</w:t>
            </w:r>
            <w:r w:rsidRPr="00CA6FC7">
              <w:rPr>
                <w:rFonts w:ascii="Verdana" w:hAnsi="Verdana"/>
                <w:noProof/>
                <w:sz w:val="16"/>
                <w:szCs w:val="16"/>
              </w:rPr>
              <w:t>111</w:t>
            </w:r>
          </w:p>
        </w:tc>
        <w:tc>
          <w:tcPr>
            <w:tcW w:w="1453" w:type="dxa"/>
            <w:tcBorders>
              <w:top w:val="nil"/>
              <w:left w:val="nil"/>
              <w:bottom w:val="nil"/>
              <w:right w:val="nil"/>
            </w:tcBorders>
            <w:noWrap/>
            <w:tcMar>
              <w:top w:w="0" w:type="dxa"/>
              <w:left w:w="15" w:type="dxa"/>
              <w:bottom w:w="0" w:type="dxa"/>
              <w:right w:w="15" w:type="dxa"/>
            </w:tcMar>
            <w:vAlign w:val="bottom"/>
          </w:tcPr>
          <w:p w:rsidR="00D856F2" w:rsidRPr="00A43B98" w:rsidRDefault="00D856F2" w:rsidP="00D856F2">
            <w:pPr>
              <w:jc w:val="right"/>
              <w:rPr>
                <w:rFonts w:ascii="Verdana" w:hAnsi="Verdana"/>
                <w:noProof/>
                <w:sz w:val="16"/>
                <w:szCs w:val="16"/>
              </w:rPr>
            </w:pPr>
            <w:r w:rsidRPr="00A43B98">
              <w:rPr>
                <w:rFonts w:ascii="Verdana" w:hAnsi="Verdana"/>
                <w:noProof/>
                <w:sz w:val="16"/>
                <w:szCs w:val="16"/>
              </w:rPr>
              <w:t>159</w:t>
            </w:r>
            <w:r>
              <w:rPr>
                <w:rFonts w:ascii="Verdana" w:hAnsi="Verdana"/>
                <w:noProof/>
                <w:sz w:val="16"/>
                <w:szCs w:val="16"/>
              </w:rPr>
              <w:t>,</w:t>
            </w:r>
            <w:r w:rsidRPr="00A43B98">
              <w:rPr>
                <w:rFonts w:ascii="Verdana" w:hAnsi="Verdana"/>
                <w:noProof/>
                <w:sz w:val="16"/>
                <w:szCs w:val="16"/>
              </w:rPr>
              <w:t>450</w:t>
            </w:r>
          </w:p>
        </w:tc>
        <w:tc>
          <w:tcPr>
            <w:tcW w:w="1276" w:type="dxa"/>
            <w:gridSpan w:val="2"/>
            <w:tcBorders>
              <w:top w:val="nil"/>
              <w:left w:val="nil"/>
              <w:bottom w:val="nil"/>
              <w:right w:val="nil"/>
            </w:tcBorders>
            <w:noWrap/>
            <w:tcMar>
              <w:top w:w="0" w:type="dxa"/>
              <w:left w:w="15" w:type="dxa"/>
              <w:bottom w:w="0" w:type="dxa"/>
              <w:right w:w="15" w:type="dxa"/>
            </w:tcMar>
            <w:vAlign w:val="bottom"/>
          </w:tcPr>
          <w:p w:rsidR="00D856F2" w:rsidRPr="00271032" w:rsidRDefault="00D856F2" w:rsidP="00D856F2">
            <w:pPr>
              <w:jc w:val="right"/>
              <w:rPr>
                <w:rFonts w:ascii="Verdana" w:hAnsi="Verdana"/>
                <w:noProof/>
                <w:sz w:val="16"/>
                <w:szCs w:val="16"/>
              </w:rPr>
            </w:pPr>
            <w:r w:rsidRPr="00271032">
              <w:rPr>
                <w:rFonts w:ascii="Verdana" w:hAnsi="Verdana"/>
                <w:noProof/>
                <w:sz w:val="16"/>
                <w:szCs w:val="16"/>
              </w:rPr>
              <w:t>(13</w:t>
            </w:r>
            <w:r>
              <w:rPr>
                <w:rFonts w:ascii="Verdana" w:hAnsi="Verdana"/>
                <w:noProof/>
                <w:sz w:val="16"/>
                <w:szCs w:val="16"/>
              </w:rPr>
              <w:t>.</w:t>
            </w:r>
            <w:r w:rsidRPr="00271032">
              <w:rPr>
                <w:rFonts w:ascii="Verdana" w:hAnsi="Verdana"/>
                <w:noProof/>
                <w:sz w:val="16"/>
                <w:szCs w:val="16"/>
              </w:rPr>
              <w:t>4%)</w:t>
            </w:r>
          </w:p>
        </w:tc>
        <w:tc>
          <w:tcPr>
            <w:tcW w:w="283" w:type="dxa"/>
            <w:tcBorders>
              <w:top w:val="nil"/>
              <w:left w:val="nil"/>
              <w:bottom w:val="nil"/>
              <w:right w:val="nil"/>
            </w:tcBorders>
            <w:vAlign w:val="bottom"/>
          </w:tcPr>
          <w:p w:rsidR="00D856F2" w:rsidRPr="00353FCF" w:rsidRDefault="00D856F2" w:rsidP="00D856F2">
            <w:pPr>
              <w:jc w:val="right"/>
              <w:rPr>
                <w:rFonts w:ascii="Verdana" w:hAnsi="Verdana"/>
                <w:noProof/>
                <w:sz w:val="16"/>
                <w:szCs w:val="16"/>
                <w:highlight w:val="yellow"/>
                <w:lang w:val="en-GB"/>
              </w:rPr>
            </w:pPr>
          </w:p>
        </w:tc>
      </w:tr>
      <w:tr w:rsidR="00D856F2" w:rsidRPr="00353FCF" w:rsidTr="00D856F2">
        <w:trPr>
          <w:gridAfter w:val="2"/>
          <w:wAfter w:w="1701" w:type="dxa"/>
          <w:trHeight w:val="255"/>
        </w:trPr>
        <w:tc>
          <w:tcPr>
            <w:tcW w:w="3276" w:type="dxa"/>
            <w:gridSpan w:val="2"/>
            <w:tcBorders>
              <w:top w:val="nil"/>
              <w:left w:val="nil"/>
              <w:bottom w:val="nil"/>
              <w:right w:val="nil"/>
            </w:tcBorders>
            <w:noWrap/>
            <w:tcMar>
              <w:top w:w="0" w:type="dxa"/>
              <w:left w:w="15" w:type="dxa"/>
              <w:bottom w:w="0" w:type="dxa"/>
              <w:right w:w="15" w:type="dxa"/>
            </w:tcMar>
            <w:vAlign w:val="bottom"/>
          </w:tcPr>
          <w:p w:rsidR="00D856F2" w:rsidRPr="00353FCF" w:rsidRDefault="00D856F2" w:rsidP="00D856F2">
            <w:pPr>
              <w:jc w:val="both"/>
              <w:rPr>
                <w:rFonts w:ascii="Verdana" w:hAnsi="Verdana"/>
                <w:noProof/>
                <w:sz w:val="16"/>
                <w:szCs w:val="16"/>
                <w:lang w:val="en-GB"/>
              </w:rPr>
            </w:pPr>
            <w:r w:rsidRPr="00353FCF">
              <w:rPr>
                <w:rFonts w:ascii="Verdana" w:hAnsi="Verdana"/>
                <w:noProof/>
                <w:sz w:val="16"/>
                <w:szCs w:val="16"/>
                <w:lang w:val="en-GB"/>
              </w:rPr>
              <w:t>Cost of goods sold</w:t>
            </w:r>
          </w:p>
        </w:tc>
        <w:tc>
          <w:tcPr>
            <w:tcW w:w="1807" w:type="dxa"/>
            <w:tcBorders>
              <w:top w:val="nil"/>
              <w:left w:val="nil"/>
              <w:bottom w:val="nil"/>
              <w:right w:val="nil"/>
            </w:tcBorders>
            <w:tcMar>
              <w:top w:w="0" w:type="dxa"/>
              <w:left w:w="15" w:type="dxa"/>
              <w:bottom w:w="0" w:type="dxa"/>
              <w:right w:w="15" w:type="dxa"/>
            </w:tcMar>
            <w:vAlign w:val="bottom"/>
          </w:tcPr>
          <w:p w:rsidR="00D856F2" w:rsidRPr="00CA6FC7" w:rsidRDefault="00D856F2" w:rsidP="00D856F2">
            <w:pPr>
              <w:jc w:val="right"/>
              <w:rPr>
                <w:rFonts w:ascii="Verdana" w:hAnsi="Verdana"/>
                <w:noProof/>
                <w:sz w:val="16"/>
                <w:szCs w:val="16"/>
              </w:rPr>
            </w:pPr>
            <w:r w:rsidRPr="00CA6FC7">
              <w:rPr>
                <w:rFonts w:ascii="Verdana" w:hAnsi="Verdana"/>
                <w:noProof/>
                <w:sz w:val="16"/>
                <w:szCs w:val="16"/>
              </w:rPr>
              <w:t>(88</w:t>
            </w:r>
            <w:r>
              <w:rPr>
                <w:rFonts w:ascii="Verdana" w:hAnsi="Verdana"/>
                <w:noProof/>
                <w:sz w:val="16"/>
                <w:szCs w:val="16"/>
              </w:rPr>
              <w:t>,</w:t>
            </w:r>
            <w:r w:rsidRPr="00CA6FC7">
              <w:rPr>
                <w:rFonts w:ascii="Verdana" w:hAnsi="Verdana"/>
                <w:noProof/>
                <w:sz w:val="16"/>
                <w:szCs w:val="16"/>
              </w:rPr>
              <w:t>680)</w:t>
            </w:r>
          </w:p>
        </w:tc>
        <w:tc>
          <w:tcPr>
            <w:tcW w:w="1453" w:type="dxa"/>
            <w:tcBorders>
              <w:top w:val="nil"/>
              <w:left w:val="nil"/>
              <w:bottom w:val="nil"/>
              <w:right w:val="nil"/>
            </w:tcBorders>
            <w:noWrap/>
            <w:tcMar>
              <w:top w:w="0" w:type="dxa"/>
              <w:left w:w="15" w:type="dxa"/>
              <w:bottom w:w="0" w:type="dxa"/>
              <w:right w:w="15" w:type="dxa"/>
            </w:tcMar>
            <w:vAlign w:val="bottom"/>
          </w:tcPr>
          <w:p w:rsidR="00D856F2" w:rsidRPr="00A43B98" w:rsidRDefault="00D856F2" w:rsidP="00D856F2">
            <w:pPr>
              <w:jc w:val="right"/>
              <w:rPr>
                <w:rFonts w:ascii="Verdana" w:hAnsi="Verdana"/>
                <w:noProof/>
                <w:sz w:val="16"/>
                <w:szCs w:val="16"/>
              </w:rPr>
            </w:pPr>
            <w:r w:rsidRPr="00A43B98">
              <w:rPr>
                <w:rFonts w:ascii="Verdana" w:hAnsi="Verdana"/>
                <w:noProof/>
                <w:sz w:val="16"/>
                <w:szCs w:val="16"/>
              </w:rPr>
              <w:t>(103</w:t>
            </w:r>
            <w:r>
              <w:rPr>
                <w:rFonts w:ascii="Verdana" w:hAnsi="Verdana"/>
                <w:noProof/>
                <w:sz w:val="16"/>
                <w:szCs w:val="16"/>
              </w:rPr>
              <w:t>,</w:t>
            </w:r>
            <w:r w:rsidRPr="00A43B98">
              <w:rPr>
                <w:rFonts w:ascii="Verdana" w:hAnsi="Verdana"/>
                <w:noProof/>
                <w:sz w:val="16"/>
                <w:szCs w:val="16"/>
              </w:rPr>
              <w:t>627)</w:t>
            </w:r>
          </w:p>
        </w:tc>
        <w:tc>
          <w:tcPr>
            <w:tcW w:w="1276" w:type="dxa"/>
            <w:gridSpan w:val="2"/>
            <w:tcBorders>
              <w:top w:val="nil"/>
              <w:left w:val="nil"/>
              <w:bottom w:val="nil"/>
              <w:right w:val="nil"/>
            </w:tcBorders>
            <w:noWrap/>
            <w:tcMar>
              <w:top w:w="0" w:type="dxa"/>
              <w:left w:w="15" w:type="dxa"/>
              <w:bottom w:w="0" w:type="dxa"/>
              <w:right w:w="15" w:type="dxa"/>
            </w:tcMar>
            <w:vAlign w:val="bottom"/>
          </w:tcPr>
          <w:p w:rsidR="00D856F2" w:rsidRPr="00271032" w:rsidRDefault="00D856F2" w:rsidP="00D856F2">
            <w:pPr>
              <w:jc w:val="right"/>
              <w:rPr>
                <w:rFonts w:ascii="Verdana" w:hAnsi="Verdana"/>
                <w:noProof/>
                <w:sz w:val="16"/>
                <w:szCs w:val="16"/>
              </w:rPr>
            </w:pPr>
            <w:r w:rsidRPr="00271032">
              <w:rPr>
                <w:rFonts w:ascii="Verdana" w:hAnsi="Verdana"/>
                <w:noProof/>
                <w:sz w:val="16"/>
                <w:szCs w:val="16"/>
              </w:rPr>
              <w:t>(14</w:t>
            </w:r>
            <w:r>
              <w:rPr>
                <w:rFonts w:ascii="Verdana" w:hAnsi="Verdana"/>
                <w:noProof/>
                <w:sz w:val="16"/>
                <w:szCs w:val="16"/>
              </w:rPr>
              <w:t>.</w:t>
            </w:r>
            <w:r w:rsidRPr="00271032">
              <w:rPr>
                <w:rFonts w:ascii="Verdana" w:hAnsi="Verdana"/>
                <w:noProof/>
                <w:sz w:val="16"/>
                <w:szCs w:val="16"/>
              </w:rPr>
              <w:t>4%)</w:t>
            </w:r>
          </w:p>
        </w:tc>
        <w:tc>
          <w:tcPr>
            <w:tcW w:w="283" w:type="dxa"/>
            <w:tcBorders>
              <w:top w:val="nil"/>
              <w:left w:val="nil"/>
              <w:bottom w:val="nil"/>
              <w:right w:val="nil"/>
            </w:tcBorders>
            <w:vAlign w:val="bottom"/>
          </w:tcPr>
          <w:p w:rsidR="00D856F2" w:rsidRPr="00353FCF" w:rsidRDefault="00D856F2" w:rsidP="00D856F2">
            <w:pPr>
              <w:jc w:val="right"/>
              <w:rPr>
                <w:rFonts w:ascii="Verdana" w:hAnsi="Verdana"/>
                <w:noProof/>
                <w:sz w:val="16"/>
                <w:szCs w:val="16"/>
                <w:highlight w:val="yellow"/>
                <w:lang w:val="en-GB"/>
              </w:rPr>
            </w:pPr>
          </w:p>
        </w:tc>
      </w:tr>
      <w:tr w:rsidR="00D856F2" w:rsidRPr="00353FCF" w:rsidTr="00D856F2">
        <w:trPr>
          <w:gridAfter w:val="2"/>
          <w:wAfter w:w="1701" w:type="dxa"/>
          <w:trHeight w:val="255"/>
        </w:trPr>
        <w:tc>
          <w:tcPr>
            <w:tcW w:w="3276" w:type="dxa"/>
            <w:gridSpan w:val="2"/>
            <w:tcBorders>
              <w:top w:val="nil"/>
              <w:left w:val="nil"/>
              <w:bottom w:val="nil"/>
              <w:right w:val="nil"/>
            </w:tcBorders>
            <w:noWrap/>
            <w:tcMar>
              <w:top w:w="0" w:type="dxa"/>
              <w:left w:w="15" w:type="dxa"/>
              <w:bottom w:w="0" w:type="dxa"/>
              <w:right w:w="15" w:type="dxa"/>
            </w:tcMar>
            <w:vAlign w:val="bottom"/>
          </w:tcPr>
          <w:p w:rsidR="00D856F2" w:rsidRPr="00353FCF" w:rsidRDefault="00D856F2" w:rsidP="00D856F2">
            <w:pPr>
              <w:jc w:val="both"/>
              <w:rPr>
                <w:rFonts w:ascii="Verdana" w:hAnsi="Verdana"/>
                <w:noProof/>
                <w:sz w:val="16"/>
                <w:szCs w:val="16"/>
                <w:lang w:val="en-GB"/>
              </w:rPr>
            </w:pPr>
            <w:r w:rsidRPr="00353FCF">
              <w:rPr>
                <w:rFonts w:ascii="Verdana" w:hAnsi="Verdana"/>
                <w:noProof/>
                <w:sz w:val="16"/>
                <w:szCs w:val="16"/>
                <w:lang w:val="en-GB"/>
              </w:rPr>
              <w:t>Gross profit</w:t>
            </w:r>
          </w:p>
        </w:tc>
        <w:tc>
          <w:tcPr>
            <w:tcW w:w="1807" w:type="dxa"/>
            <w:tcBorders>
              <w:top w:val="nil"/>
              <w:left w:val="nil"/>
              <w:bottom w:val="nil"/>
              <w:right w:val="nil"/>
            </w:tcBorders>
            <w:tcMar>
              <w:top w:w="0" w:type="dxa"/>
              <w:left w:w="15" w:type="dxa"/>
              <w:bottom w:w="0" w:type="dxa"/>
              <w:right w:w="15" w:type="dxa"/>
            </w:tcMar>
            <w:vAlign w:val="bottom"/>
          </w:tcPr>
          <w:p w:rsidR="00D856F2" w:rsidRPr="00CA6FC7" w:rsidRDefault="00D856F2" w:rsidP="00D856F2">
            <w:pPr>
              <w:jc w:val="right"/>
              <w:rPr>
                <w:rFonts w:ascii="Verdana" w:hAnsi="Verdana"/>
                <w:noProof/>
                <w:sz w:val="16"/>
                <w:szCs w:val="16"/>
              </w:rPr>
            </w:pPr>
            <w:r w:rsidRPr="00CA6FC7">
              <w:rPr>
                <w:rFonts w:ascii="Verdana" w:hAnsi="Verdana"/>
                <w:noProof/>
                <w:sz w:val="16"/>
                <w:szCs w:val="16"/>
              </w:rPr>
              <w:t>49</w:t>
            </w:r>
            <w:r>
              <w:rPr>
                <w:rFonts w:ascii="Verdana" w:hAnsi="Verdana"/>
                <w:noProof/>
                <w:sz w:val="16"/>
                <w:szCs w:val="16"/>
              </w:rPr>
              <w:t>,</w:t>
            </w:r>
            <w:r w:rsidRPr="00CA6FC7">
              <w:rPr>
                <w:rFonts w:ascii="Verdana" w:hAnsi="Verdana"/>
                <w:noProof/>
                <w:sz w:val="16"/>
                <w:szCs w:val="16"/>
              </w:rPr>
              <w:t>431</w:t>
            </w:r>
          </w:p>
        </w:tc>
        <w:tc>
          <w:tcPr>
            <w:tcW w:w="1453" w:type="dxa"/>
            <w:tcBorders>
              <w:top w:val="nil"/>
              <w:left w:val="nil"/>
              <w:bottom w:val="nil"/>
              <w:right w:val="nil"/>
            </w:tcBorders>
            <w:noWrap/>
            <w:tcMar>
              <w:top w:w="0" w:type="dxa"/>
              <w:left w:w="15" w:type="dxa"/>
              <w:bottom w:w="0" w:type="dxa"/>
              <w:right w:w="15" w:type="dxa"/>
            </w:tcMar>
            <w:vAlign w:val="bottom"/>
          </w:tcPr>
          <w:p w:rsidR="00D856F2" w:rsidRPr="00A43B98" w:rsidRDefault="00D856F2" w:rsidP="00D856F2">
            <w:pPr>
              <w:jc w:val="right"/>
              <w:rPr>
                <w:rFonts w:ascii="Verdana" w:hAnsi="Verdana"/>
                <w:noProof/>
                <w:sz w:val="16"/>
                <w:szCs w:val="16"/>
              </w:rPr>
            </w:pPr>
            <w:r w:rsidRPr="00A43B98">
              <w:rPr>
                <w:rFonts w:ascii="Verdana" w:hAnsi="Verdana"/>
                <w:noProof/>
                <w:sz w:val="16"/>
                <w:szCs w:val="16"/>
              </w:rPr>
              <w:t>55</w:t>
            </w:r>
            <w:r>
              <w:rPr>
                <w:rFonts w:ascii="Verdana" w:hAnsi="Verdana"/>
                <w:noProof/>
                <w:sz w:val="16"/>
                <w:szCs w:val="16"/>
              </w:rPr>
              <w:t>,</w:t>
            </w:r>
            <w:r w:rsidRPr="00A43B98">
              <w:rPr>
                <w:rFonts w:ascii="Verdana" w:hAnsi="Verdana"/>
                <w:noProof/>
                <w:sz w:val="16"/>
                <w:szCs w:val="16"/>
              </w:rPr>
              <w:t>823</w:t>
            </w:r>
          </w:p>
        </w:tc>
        <w:tc>
          <w:tcPr>
            <w:tcW w:w="1276" w:type="dxa"/>
            <w:gridSpan w:val="2"/>
            <w:tcBorders>
              <w:top w:val="nil"/>
              <w:left w:val="nil"/>
              <w:bottom w:val="nil"/>
              <w:right w:val="nil"/>
            </w:tcBorders>
            <w:noWrap/>
            <w:tcMar>
              <w:top w:w="0" w:type="dxa"/>
              <w:left w:w="15" w:type="dxa"/>
              <w:bottom w:w="0" w:type="dxa"/>
              <w:right w:w="15" w:type="dxa"/>
            </w:tcMar>
            <w:vAlign w:val="bottom"/>
          </w:tcPr>
          <w:p w:rsidR="00D856F2" w:rsidRPr="00271032" w:rsidRDefault="00D856F2" w:rsidP="00D856F2">
            <w:pPr>
              <w:jc w:val="right"/>
              <w:rPr>
                <w:rFonts w:ascii="Verdana" w:hAnsi="Verdana"/>
                <w:noProof/>
                <w:sz w:val="16"/>
                <w:szCs w:val="16"/>
              </w:rPr>
            </w:pPr>
            <w:r w:rsidRPr="00271032">
              <w:rPr>
                <w:rFonts w:ascii="Verdana" w:hAnsi="Verdana"/>
                <w:noProof/>
                <w:sz w:val="16"/>
                <w:szCs w:val="16"/>
              </w:rPr>
              <w:t>(11</w:t>
            </w:r>
            <w:r>
              <w:rPr>
                <w:rFonts w:ascii="Verdana" w:hAnsi="Verdana"/>
                <w:noProof/>
                <w:sz w:val="16"/>
                <w:szCs w:val="16"/>
              </w:rPr>
              <w:t>.</w:t>
            </w:r>
            <w:r w:rsidRPr="00271032">
              <w:rPr>
                <w:rFonts w:ascii="Verdana" w:hAnsi="Verdana"/>
                <w:noProof/>
                <w:sz w:val="16"/>
                <w:szCs w:val="16"/>
              </w:rPr>
              <w:t>5%)</w:t>
            </w:r>
          </w:p>
        </w:tc>
        <w:tc>
          <w:tcPr>
            <w:tcW w:w="283" w:type="dxa"/>
            <w:tcBorders>
              <w:top w:val="nil"/>
              <w:left w:val="nil"/>
              <w:bottom w:val="nil"/>
              <w:right w:val="nil"/>
            </w:tcBorders>
            <w:vAlign w:val="bottom"/>
          </w:tcPr>
          <w:p w:rsidR="00D856F2" w:rsidRPr="00353FCF" w:rsidRDefault="00D856F2" w:rsidP="00D856F2">
            <w:pPr>
              <w:jc w:val="right"/>
              <w:rPr>
                <w:rFonts w:ascii="Verdana" w:hAnsi="Verdana"/>
                <w:noProof/>
                <w:sz w:val="16"/>
                <w:szCs w:val="16"/>
                <w:highlight w:val="yellow"/>
                <w:lang w:val="en-GB"/>
              </w:rPr>
            </w:pPr>
          </w:p>
        </w:tc>
      </w:tr>
      <w:tr w:rsidR="00D856F2" w:rsidRPr="00353FCF" w:rsidTr="00D856F2">
        <w:trPr>
          <w:gridAfter w:val="2"/>
          <w:wAfter w:w="1701" w:type="dxa"/>
          <w:trHeight w:val="285"/>
        </w:trPr>
        <w:tc>
          <w:tcPr>
            <w:tcW w:w="3276" w:type="dxa"/>
            <w:gridSpan w:val="2"/>
            <w:tcBorders>
              <w:top w:val="nil"/>
              <w:left w:val="nil"/>
              <w:bottom w:val="nil"/>
              <w:right w:val="nil"/>
            </w:tcBorders>
            <w:noWrap/>
            <w:tcMar>
              <w:top w:w="0" w:type="dxa"/>
              <w:left w:w="15" w:type="dxa"/>
              <w:bottom w:w="0" w:type="dxa"/>
              <w:right w:w="15" w:type="dxa"/>
            </w:tcMar>
            <w:vAlign w:val="bottom"/>
          </w:tcPr>
          <w:p w:rsidR="00D856F2" w:rsidRPr="00353FCF" w:rsidRDefault="00D856F2" w:rsidP="00D856F2">
            <w:pPr>
              <w:jc w:val="both"/>
              <w:rPr>
                <w:rFonts w:ascii="Verdana" w:hAnsi="Verdana"/>
                <w:noProof/>
                <w:sz w:val="16"/>
                <w:szCs w:val="16"/>
                <w:lang w:val="en-GB"/>
              </w:rPr>
            </w:pPr>
          </w:p>
        </w:tc>
        <w:tc>
          <w:tcPr>
            <w:tcW w:w="1807" w:type="dxa"/>
            <w:tcBorders>
              <w:top w:val="nil"/>
              <w:left w:val="nil"/>
              <w:bottom w:val="nil"/>
              <w:right w:val="nil"/>
            </w:tcBorders>
            <w:tcMar>
              <w:top w:w="0" w:type="dxa"/>
              <w:left w:w="15" w:type="dxa"/>
              <w:bottom w:w="0" w:type="dxa"/>
              <w:right w:w="15" w:type="dxa"/>
            </w:tcMar>
            <w:vAlign w:val="bottom"/>
          </w:tcPr>
          <w:p w:rsidR="00D856F2" w:rsidRPr="00CA6FC7" w:rsidRDefault="00D856F2" w:rsidP="00D856F2">
            <w:pPr>
              <w:jc w:val="right"/>
              <w:rPr>
                <w:rFonts w:ascii="Verdana" w:hAnsi="Verdana"/>
                <w:noProof/>
                <w:sz w:val="16"/>
                <w:szCs w:val="16"/>
              </w:rPr>
            </w:pPr>
          </w:p>
        </w:tc>
        <w:tc>
          <w:tcPr>
            <w:tcW w:w="1453" w:type="dxa"/>
            <w:tcBorders>
              <w:top w:val="nil"/>
              <w:left w:val="nil"/>
              <w:bottom w:val="nil"/>
              <w:right w:val="nil"/>
            </w:tcBorders>
            <w:noWrap/>
            <w:tcMar>
              <w:top w:w="0" w:type="dxa"/>
              <w:left w:w="15" w:type="dxa"/>
              <w:bottom w:w="0" w:type="dxa"/>
              <w:right w:w="15" w:type="dxa"/>
            </w:tcMar>
            <w:vAlign w:val="bottom"/>
          </w:tcPr>
          <w:p w:rsidR="00D856F2" w:rsidRPr="00A43B98" w:rsidRDefault="00D856F2" w:rsidP="00D856F2">
            <w:pPr>
              <w:jc w:val="right"/>
              <w:rPr>
                <w:rFonts w:ascii="Verdana" w:hAnsi="Verdana"/>
                <w:noProof/>
                <w:sz w:val="16"/>
                <w:szCs w:val="16"/>
              </w:rPr>
            </w:pPr>
          </w:p>
        </w:tc>
        <w:tc>
          <w:tcPr>
            <w:tcW w:w="1276" w:type="dxa"/>
            <w:gridSpan w:val="2"/>
            <w:tcBorders>
              <w:top w:val="nil"/>
              <w:left w:val="nil"/>
              <w:bottom w:val="nil"/>
              <w:right w:val="nil"/>
            </w:tcBorders>
            <w:noWrap/>
            <w:tcMar>
              <w:top w:w="0" w:type="dxa"/>
              <w:left w:w="15" w:type="dxa"/>
              <w:bottom w:w="0" w:type="dxa"/>
              <w:right w:w="15" w:type="dxa"/>
            </w:tcMar>
            <w:vAlign w:val="bottom"/>
          </w:tcPr>
          <w:p w:rsidR="00D856F2" w:rsidRPr="00D31792" w:rsidRDefault="00D856F2" w:rsidP="00D856F2">
            <w:pPr>
              <w:jc w:val="right"/>
              <w:rPr>
                <w:rFonts w:ascii="Verdana" w:hAnsi="Verdana"/>
                <w:noProof/>
                <w:sz w:val="16"/>
                <w:szCs w:val="16"/>
              </w:rPr>
            </w:pPr>
          </w:p>
        </w:tc>
        <w:tc>
          <w:tcPr>
            <w:tcW w:w="283" w:type="dxa"/>
            <w:tcBorders>
              <w:top w:val="nil"/>
              <w:left w:val="nil"/>
              <w:bottom w:val="nil"/>
              <w:right w:val="nil"/>
            </w:tcBorders>
            <w:vAlign w:val="bottom"/>
          </w:tcPr>
          <w:p w:rsidR="00D856F2" w:rsidRPr="00353FCF" w:rsidRDefault="00D856F2" w:rsidP="00D856F2">
            <w:pPr>
              <w:jc w:val="right"/>
              <w:rPr>
                <w:rFonts w:ascii="Verdana" w:hAnsi="Verdana"/>
                <w:noProof/>
                <w:sz w:val="16"/>
                <w:szCs w:val="16"/>
                <w:lang w:val="en-GB"/>
              </w:rPr>
            </w:pPr>
          </w:p>
        </w:tc>
      </w:tr>
      <w:tr w:rsidR="00D856F2" w:rsidRPr="00353FCF" w:rsidTr="00D856F2">
        <w:trPr>
          <w:gridAfter w:val="2"/>
          <w:wAfter w:w="1701" w:type="dxa"/>
          <w:trHeight w:val="285"/>
        </w:trPr>
        <w:tc>
          <w:tcPr>
            <w:tcW w:w="3276" w:type="dxa"/>
            <w:gridSpan w:val="2"/>
            <w:tcBorders>
              <w:top w:val="nil"/>
              <w:left w:val="nil"/>
              <w:bottom w:val="nil"/>
              <w:right w:val="nil"/>
            </w:tcBorders>
            <w:noWrap/>
            <w:tcMar>
              <w:top w:w="0" w:type="dxa"/>
              <w:left w:w="15" w:type="dxa"/>
              <w:bottom w:w="0" w:type="dxa"/>
              <w:right w:w="15" w:type="dxa"/>
            </w:tcMar>
            <w:vAlign w:val="bottom"/>
          </w:tcPr>
          <w:p w:rsidR="00D856F2" w:rsidRPr="00353FCF" w:rsidRDefault="00D856F2" w:rsidP="00D856F2">
            <w:pPr>
              <w:jc w:val="both"/>
              <w:rPr>
                <w:rFonts w:ascii="Verdana" w:hAnsi="Verdana"/>
                <w:noProof/>
                <w:sz w:val="16"/>
                <w:szCs w:val="16"/>
                <w:lang w:val="en-GB"/>
              </w:rPr>
            </w:pPr>
            <w:r w:rsidRPr="00353FCF">
              <w:rPr>
                <w:rFonts w:ascii="Verdana" w:hAnsi="Verdana"/>
                <w:noProof/>
                <w:sz w:val="16"/>
                <w:szCs w:val="16"/>
                <w:lang w:val="en-GB"/>
              </w:rPr>
              <w:t>Other operating income</w:t>
            </w:r>
          </w:p>
        </w:tc>
        <w:tc>
          <w:tcPr>
            <w:tcW w:w="1807" w:type="dxa"/>
            <w:tcBorders>
              <w:top w:val="nil"/>
              <w:left w:val="nil"/>
              <w:bottom w:val="nil"/>
              <w:right w:val="nil"/>
            </w:tcBorders>
            <w:tcMar>
              <w:top w:w="0" w:type="dxa"/>
              <w:left w:w="15" w:type="dxa"/>
              <w:bottom w:w="0" w:type="dxa"/>
              <w:right w:w="15" w:type="dxa"/>
            </w:tcMar>
            <w:vAlign w:val="bottom"/>
          </w:tcPr>
          <w:p w:rsidR="00D856F2" w:rsidRPr="00CA6FC7" w:rsidRDefault="00D856F2" w:rsidP="00D856F2">
            <w:pPr>
              <w:jc w:val="right"/>
              <w:rPr>
                <w:rFonts w:ascii="Verdana" w:hAnsi="Verdana"/>
                <w:noProof/>
                <w:sz w:val="16"/>
                <w:szCs w:val="16"/>
              </w:rPr>
            </w:pPr>
            <w:r w:rsidRPr="00CA6FC7">
              <w:rPr>
                <w:rFonts w:ascii="Verdana" w:hAnsi="Verdana"/>
                <w:noProof/>
                <w:sz w:val="16"/>
                <w:szCs w:val="16"/>
              </w:rPr>
              <w:t>(189)</w:t>
            </w:r>
          </w:p>
        </w:tc>
        <w:tc>
          <w:tcPr>
            <w:tcW w:w="1453" w:type="dxa"/>
            <w:tcBorders>
              <w:top w:val="nil"/>
              <w:left w:val="nil"/>
              <w:bottom w:val="nil"/>
              <w:right w:val="nil"/>
            </w:tcBorders>
            <w:noWrap/>
            <w:tcMar>
              <w:top w:w="0" w:type="dxa"/>
              <w:left w:w="15" w:type="dxa"/>
              <w:bottom w:w="0" w:type="dxa"/>
              <w:right w:w="15" w:type="dxa"/>
            </w:tcMar>
            <w:vAlign w:val="bottom"/>
          </w:tcPr>
          <w:p w:rsidR="00D856F2" w:rsidRPr="00A43B98" w:rsidRDefault="00D856F2" w:rsidP="00D856F2">
            <w:pPr>
              <w:jc w:val="right"/>
              <w:rPr>
                <w:rFonts w:ascii="Verdana" w:hAnsi="Verdana"/>
                <w:noProof/>
                <w:sz w:val="16"/>
                <w:szCs w:val="16"/>
              </w:rPr>
            </w:pPr>
            <w:r w:rsidRPr="00A43B98">
              <w:rPr>
                <w:rFonts w:ascii="Verdana" w:hAnsi="Verdana"/>
                <w:noProof/>
                <w:sz w:val="16"/>
                <w:szCs w:val="16"/>
              </w:rPr>
              <w:t>(66)</w:t>
            </w:r>
          </w:p>
        </w:tc>
        <w:tc>
          <w:tcPr>
            <w:tcW w:w="1276" w:type="dxa"/>
            <w:gridSpan w:val="2"/>
            <w:tcBorders>
              <w:top w:val="nil"/>
              <w:left w:val="nil"/>
              <w:bottom w:val="nil"/>
              <w:right w:val="nil"/>
            </w:tcBorders>
            <w:noWrap/>
            <w:tcMar>
              <w:top w:w="0" w:type="dxa"/>
              <w:left w:w="15" w:type="dxa"/>
              <w:bottom w:w="0" w:type="dxa"/>
              <w:right w:w="15" w:type="dxa"/>
            </w:tcMar>
            <w:vAlign w:val="bottom"/>
          </w:tcPr>
          <w:p w:rsidR="00D856F2" w:rsidRPr="00D31792" w:rsidRDefault="00D856F2" w:rsidP="00D856F2">
            <w:pPr>
              <w:jc w:val="right"/>
              <w:rPr>
                <w:rFonts w:ascii="Verdana" w:hAnsi="Verdana"/>
                <w:noProof/>
                <w:sz w:val="16"/>
                <w:szCs w:val="16"/>
              </w:rPr>
            </w:pPr>
          </w:p>
        </w:tc>
        <w:tc>
          <w:tcPr>
            <w:tcW w:w="283" w:type="dxa"/>
            <w:tcBorders>
              <w:top w:val="nil"/>
              <w:left w:val="nil"/>
              <w:bottom w:val="nil"/>
              <w:right w:val="nil"/>
            </w:tcBorders>
            <w:vAlign w:val="bottom"/>
          </w:tcPr>
          <w:p w:rsidR="00D856F2" w:rsidRPr="00353FCF" w:rsidRDefault="00D856F2" w:rsidP="00D856F2">
            <w:pPr>
              <w:jc w:val="right"/>
              <w:rPr>
                <w:rFonts w:ascii="Verdana" w:hAnsi="Verdana"/>
                <w:noProof/>
                <w:sz w:val="16"/>
                <w:szCs w:val="16"/>
                <w:lang w:val="en-GB"/>
              </w:rPr>
            </w:pPr>
          </w:p>
        </w:tc>
      </w:tr>
      <w:tr w:rsidR="00D856F2" w:rsidRPr="00353FCF" w:rsidTr="00D856F2">
        <w:trPr>
          <w:gridAfter w:val="2"/>
          <w:wAfter w:w="1701" w:type="dxa"/>
          <w:trHeight w:val="285"/>
        </w:trPr>
        <w:tc>
          <w:tcPr>
            <w:tcW w:w="3276" w:type="dxa"/>
            <w:gridSpan w:val="2"/>
            <w:tcBorders>
              <w:top w:val="nil"/>
              <w:left w:val="nil"/>
              <w:bottom w:val="nil"/>
              <w:right w:val="nil"/>
            </w:tcBorders>
            <w:noWrap/>
            <w:tcMar>
              <w:top w:w="0" w:type="dxa"/>
              <w:left w:w="15" w:type="dxa"/>
              <w:bottom w:w="0" w:type="dxa"/>
              <w:right w:w="15" w:type="dxa"/>
            </w:tcMar>
            <w:vAlign w:val="bottom"/>
          </w:tcPr>
          <w:p w:rsidR="00D856F2" w:rsidRPr="00353FCF" w:rsidRDefault="00D856F2" w:rsidP="00D856F2">
            <w:pPr>
              <w:jc w:val="both"/>
              <w:rPr>
                <w:rFonts w:ascii="Verdana" w:hAnsi="Verdana"/>
                <w:noProof/>
                <w:sz w:val="16"/>
                <w:szCs w:val="16"/>
                <w:lang w:val="en-GB"/>
              </w:rPr>
            </w:pPr>
            <w:r w:rsidRPr="00353FCF">
              <w:rPr>
                <w:rFonts w:ascii="Verdana" w:hAnsi="Verdana"/>
                <w:noProof/>
                <w:sz w:val="16"/>
                <w:szCs w:val="16"/>
                <w:lang w:val="en-GB"/>
              </w:rPr>
              <w:t>Sales &amp; marketing expenses</w:t>
            </w:r>
          </w:p>
        </w:tc>
        <w:tc>
          <w:tcPr>
            <w:tcW w:w="1807" w:type="dxa"/>
            <w:tcBorders>
              <w:top w:val="nil"/>
              <w:left w:val="nil"/>
              <w:bottom w:val="nil"/>
              <w:right w:val="nil"/>
            </w:tcBorders>
            <w:tcMar>
              <w:top w:w="0" w:type="dxa"/>
              <w:left w:w="15" w:type="dxa"/>
              <w:bottom w:w="0" w:type="dxa"/>
              <w:right w:w="15" w:type="dxa"/>
            </w:tcMar>
            <w:vAlign w:val="bottom"/>
          </w:tcPr>
          <w:p w:rsidR="00D856F2" w:rsidRPr="002B0B04" w:rsidRDefault="00D856F2" w:rsidP="00D856F2">
            <w:pPr>
              <w:jc w:val="right"/>
              <w:rPr>
                <w:rFonts w:ascii="Verdana" w:hAnsi="Verdana"/>
                <w:noProof/>
                <w:sz w:val="16"/>
                <w:szCs w:val="16"/>
              </w:rPr>
            </w:pPr>
            <w:r w:rsidRPr="002B0B04">
              <w:rPr>
                <w:rFonts w:ascii="Verdana" w:hAnsi="Verdana"/>
                <w:noProof/>
                <w:sz w:val="16"/>
                <w:szCs w:val="16"/>
              </w:rPr>
              <w:t>(18,845)</w:t>
            </w:r>
          </w:p>
        </w:tc>
        <w:tc>
          <w:tcPr>
            <w:tcW w:w="1453" w:type="dxa"/>
            <w:tcBorders>
              <w:top w:val="nil"/>
              <w:left w:val="nil"/>
              <w:bottom w:val="nil"/>
              <w:right w:val="nil"/>
            </w:tcBorders>
            <w:noWrap/>
            <w:tcMar>
              <w:top w:w="0" w:type="dxa"/>
              <w:left w:w="15" w:type="dxa"/>
              <w:bottom w:w="0" w:type="dxa"/>
              <w:right w:w="15" w:type="dxa"/>
            </w:tcMar>
            <w:vAlign w:val="bottom"/>
          </w:tcPr>
          <w:p w:rsidR="00D856F2" w:rsidRPr="002B0B04" w:rsidRDefault="00D856F2" w:rsidP="00D856F2">
            <w:pPr>
              <w:jc w:val="right"/>
              <w:rPr>
                <w:rFonts w:ascii="Verdana" w:hAnsi="Verdana"/>
                <w:noProof/>
                <w:sz w:val="16"/>
                <w:szCs w:val="16"/>
              </w:rPr>
            </w:pPr>
            <w:r w:rsidRPr="002B0B04">
              <w:rPr>
                <w:rFonts w:ascii="Verdana" w:hAnsi="Verdana"/>
                <w:noProof/>
                <w:sz w:val="16"/>
                <w:szCs w:val="16"/>
              </w:rPr>
              <w:t>(21,361)</w:t>
            </w:r>
          </w:p>
        </w:tc>
        <w:tc>
          <w:tcPr>
            <w:tcW w:w="1276" w:type="dxa"/>
            <w:gridSpan w:val="2"/>
            <w:tcBorders>
              <w:top w:val="nil"/>
              <w:left w:val="nil"/>
              <w:bottom w:val="nil"/>
              <w:right w:val="nil"/>
            </w:tcBorders>
            <w:noWrap/>
            <w:tcMar>
              <w:top w:w="0" w:type="dxa"/>
              <w:left w:w="15" w:type="dxa"/>
              <w:bottom w:w="0" w:type="dxa"/>
              <w:right w:w="15" w:type="dxa"/>
            </w:tcMar>
            <w:vAlign w:val="bottom"/>
          </w:tcPr>
          <w:p w:rsidR="00D856F2" w:rsidRPr="00D31792" w:rsidRDefault="00D856F2" w:rsidP="00D856F2">
            <w:pPr>
              <w:jc w:val="right"/>
              <w:rPr>
                <w:rFonts w:ascii="Verdana" w:hAnsi="Verdana"/>
                <w:noProof/>
                <w:sz w:val="16"/>
                <w:szCs w:val="16"/>
              </w:rPr>
            </w:pPr>
          </w:p>
        </w:tc>
        <w:tc>
          <w:tcPr>
            <w:tcW w:w="283" w:type="dxa"/>
            <w:tcBorders>
              <w:top w:val="nil"/>
              <w:left w:val="nil"/>
              <w:bottom w:val="nil"/>
              <w:right w:val="nil"/>
            </w:tcBorders>
            <w:vAlign w:val="bottom"/>
          </w:tcPr>
          <w:p w:rsidR="00D856F2" w:rsidRPr="00353FCF" w:rsidRDefault="00D856F2" w:rsidP="00D856F2">
            <w:pPr>
              <w:jc w:val="right"/>
              <w:rPr>
                <w:rFonts w:ascii="Verdana" w:hAnsi="Verdana"/>
                <w:noProof/>
                <w:sz w:val="16"/>
                <w:szCs w:val="16"/>
                <w:lang w:val="en-GB"/>
              </w:rPr>
            </w:pPr>
          </w:p>
        </w:tc>
      </w:tr>
      <w:tr w:rsidR="00D856F2" w:rsidRPr="00353FCF" w:rsidTr="00D856F2">
        <w:trPr>
          <w:gridAfter w:val="2"/>
          <w:wAfter w:w="1701" w:type="dxa"/>
          <w:trHeight w:val="285"/>
        </w:trPr>
        <w:tc>
          <w:tcPr>
            <w:tcW w:w="3276" w:type="dxa"/>
            <w:gridSpan w:val="2"/>
            <w:tcBorders>
              <w:top w:val="nil"/>
              <w:left w:val="nil"/>
              <w:bottom w:val="nil"/>
              <w:right w:val="nil"/>
            </w:tcBorders>
            <w:noWrap/>
            <w:tcMar>
              <w:top w:w="0" w:type="dxa"/>
              <w:left w:w="15" w:type="dxa"/>
              <w:bottom w:w="0" w:type="dxa"/>
              <w:right w:w="15" w:type="dxa"/>
            </w:tcMar>
            <w:vAlign w:val="bottom"/>
          </w:tcPr>
          <w:p w:rsidR="00D856F2" w:rsidRPr="00353FCF" w:rsidRDefault="00D856F2" w:rsidP="00D856F2">
            <w:pPr>
              <w:jc w:val="both"/>
              <w:rPr>
                <w:rFonts w:ascii="Verdana" w:hAnsi="Verdana"/>
                <w:noProof/>
                <w:sz w:val="16"/>
                <w:szCs w:val="16"/>
                <w:lang w:val="en-GB"/>
              </w:rPr>
            </w:pPr>
            <w:r w:rsidRPr="00353FCF">
              <w:rPr>
                <w:rFonts w:ascii="Verdana" w:hAnsi="Verdana"/>
                <w:noProof/>
                <w:sz w:val="16"/>
                <w:szCs w:val="16"/>
                <w:lang w:val="en-GB"/>
              </w:rPr>
              <w:t>Development expenses</w:t>
            </w:r>
          </w:p>
        </w:tc>
        <w:tc>
          <w:tcPr>
            <w:tcW w:w="1807" w:type="dxa"/>
            <w:tcBorders>
              <w:top w:val="nil"/>
              <w:left w:val="nil"/>
              <w:bottom w:val="nil"/>
              <w:right w:val="nil"/>
            </w:tcBorders>
            <w:tcMar>
              <w:top w:w="0" w:type="dxa"/>
              <w:left w:w="15" w:type="dxa"/>
              <w:bottom w:w="0" w:type="dxa"/>
              <w:right w:w="15" w:type="dxa"/>
            </w:tcMar>
            <w:vAlign w:val="bottom"/>
          </w:tcPr>
          <w:p w:rsidR="00D856F2" w:rsidRPr="002B0B04" w:rsidRDefault="00D856F2" w:rsidP="00D856F2">
            <w:pPr>
              <w:jc w:val="right"/>
              <w:rPr>
                <w:rFonts w:ascii="Verdana" w:hAnsi="Verdana"/>
                <w:noProof/>
                <w:sz w:val="16"/>
                <w:szCs w:val="16"/>
              </w:rPr>
            </w:pPr>
            <w:r w:rsidRPr="002B0B04">
              <w:rPr>
                <w:rFonts w:ascii="Verdana" w:hAnsi="Verdana"/>
                <w:noProof/>
                <w:sz w:val="16"/>
                <w:szCs w:val="16"/>
              </w:rPr>
              <w:t>(6,877)</w:t>
            </w:r>
          </w:p>
        </w:tc>
        <w:tc>
          <w:tcPr>
            <w:tcW w:w="1453" w:type="dxa"/>
            <w:tcBorders>
              <w:top w:val="nil"/>
              <w:left w:val="nil"/>
              <w:bottom w:val="nil"/>
              <w:right w:val="nil"/>
            </w:tcBorders>
            <w:noWrap/>
            <w:tcMar>
              <w:top w:w="0" w:type="dxa"/>
              <w:left w:w="15" w:type="dxa"/>
              <w:bottom w:w="0" w:type="dxa"/>
              <w:right w:w="15" w:type="dxa"/>
            </w:tcMar>
            <w:vAlign w:val="bottom"/>
          </w:tcPr>
          <w:p w:rsidR="00D856F2" w:rsidRPr="002B0B04" w:rsidRDefault="00D856F2" w:rsidP="00D856F2">
            <w:pPr>
              <w:jc w:val="right"/>
              <w:rPr>
                <w:rFonts w:ascii="Verdana" w:hAnsi="Verdana"/>
                <w:noProof/>
                <w:sz w:val="16"/>
                <w:szCs w:val="16"/>
              </w:rPr>
            </w:pPr>
            <w:r w:rsidRPr="002B0B04">
              <w:rPr>
                <w:rFonts w:ascii="Verdana" w:hAnsi="Verdana"/>
                <w:noProof/>
                <w:sz w:val="16"/>
                <w:szCs w:val="16"/>
              </w:rPr>
              <w:t>(7,825)</w:t>
            </w:r>
          </w:p>
        </w:tc>
        <w:tc>
          <w:tcPr>
            <w:tcW w:w="1276" w:type="dxa"/>
            <w:gridSpan w:val="2"/>
            <w:tcBorders>
              <w:top w:val="nil"/>
              <w:left w:val="nil"/>
              <w:bottom w:val="nil"/>
              <w:right w:val="nil"/>
            </w:tcBorders>
            <w:noWrap/>
            <w:tcMar>
              <w:top w:w="0" w:type="dxa"/>
              <w:left w:w="15" w:type="dxa"/>
              <w:bottom w:w="0" w:type="dxa"/>
              <w:right w:w="15" w:type="dxa"/>
            </w:tcMar>
            <w:vAlign w:val="bottom"/>
          </w:tcPr>
          <w:p w:rsidR="00D856F2" w:rsidRPr="00D31792" w:rsidRDefault="00D856F2" w:rsidP="00D856F2">
            <w:pPr>
              <w:jc w:val="right"/>
              <w:rPr>
                <w:rFonts w:ascii="Verdana" w:hAnsi="Verdana"/>
                <w:noProof/>
                <w:sz w:val="16"/>
                <w:szCs w:val="16"/>
              </w:rPr>
            </w:pPr>
          </w:p>
        </w:tc>
        <w:tc>
          <w:tcPr>
            <w:tcW w:w="283" w:type="dxa"/>
            <w:tcBorders>
              <w:top w:val="nil"/>
              <w:left w:val="nil"/>
              <w:bottom w:val="nil"/>
              <w:right w:val="nil"/>
            </w:tcBorders>
            <w:vAlign w:val="bottom"/>
          </w:tcPr>
          <w:p w:rsidR="00D856F2" w:rsidRPr="00353FCF" w:rsidRDefault="00D856F2" w:rsidP="00D856F2">
            <w:pPr>
              <w:jc w:val="right"/>
              <w:rPr>
                <w:rFonts w:ascii="Verdana" w:hAnsi="Verdana"/>
                <w:noProof/>
                <w:sz w:val="16"/>
                <w:szCs w:val="16"/>
                <w:lang w:val="en-GB"/>
              </w:rPr>
            </w:pPr>
          </w:p>
        </w:tc>
      </w:tr>
      <w:tr w:rsidR="00D856F2" w:rsidRPr="00353FCF" w:rsidTr="00D856F2">
        <w:trPr>
          <w:gridAfter w:val="2"/>
          <w:wAfter w:w="1701" w:type="dxa"/>
          <w:trHeight w:val="285"/>
        </w:trPr>
        <w:tc>
          <w:tcPr>
            <w:tcW w:w="3276" w:type="dxa"/>
            <w:gridSpan w:val="2"/>
            <w:tcBorders>
              <w:top w:val="nil"/>
              <w:left w:val="nil"/>
              <w:bottom w:val="nil"/>
              <w:right w:val="nil"/>
            </w:tcBorders>
            <w:noWrap/>
            <w:tcMar>
              <w:top w:w="0" w:type="dxa"/>
              <w:left w:w="15" w:type="dxa"/>
              <w:bottom w:w="0" w:type="dxa"/>
              <w:right w:w="15" w:type="dxa"/>
            </w:tcMar>
            <w:vAlign w:val="bottom"/>
          </w:tcPr>
          <w:p w:rsidR="00D856F2" w:rsidRPr="00353FCF" w:rsidRDefault="00D856F2" w:rsidP="00D856F2">
            <w:pPr>
              <w:jc w:val="both"/>
              <w:rPr>
                <w:rFonts w:ascii="Verdana" w:hAnsi="Verdana"/>
                <w:noProof/>
                <w:sz w:val="16"/>
                <w:szCs w:val="16"/>
                <w:lang w:val="en-GB"/>
              </w:rPr>
            </w:pPr>
            <w:r w:rsidRPr="00353FCF">
              <w:rPr>
                <w:rFonts w:ascii="Verdana" w:hAnsi="Verdana"/>
                <w:noProof/>
                <w:sz w:val="16"/>
                <w:szCs w:val="16"/>
                <w:lang w:val="en-GB"/>
              </w:rPr>
              <w:t>Administrative expenses</w:t>
            </w:r>
          </w:p>
        </w:tc>
        <w:tc>
          <w:tcPr>
            <w:tcW w:w="1807" w:type="dxa"/>
            <w:tcBorders>
              <w:top w:val="nil"/>
              <w:left w:val="nil"/>
              <w:bottom w:val="nil"/>
              <w:right w:val="nil"/>
            </w:tcBorders>
            <w:tcMar>
              <w:top w:w="0" w:type="dxa"/>
              <w:left w:w="15" w:type="dxa"/>
              <w:bottom w:w="0" w:type="dxa"/>
              <w:right w:w="15" w:type="dxa"/>
            </w:tcMar>
            <w:vAlign w:val="bottom"/>
          </w:tcPr>
          <w:p w:rsidR="00D856F2" w:rsidRPr="002B0B04" w:rsidRDefault="00D856F2" w:rsidP="00D856F2">
            <w:pPr>
              <w:jc w:val="right"/>
              <w:rPr>
                <w:rFonts w:ascii="Verdana" w:hAnsi="Verdana"/>
                <w:noProof/>
                <w:sz w:val="16"/>
                <w:szCs w:val="16"/>
              </w:rPr>
            </w:pPr>
            <w:r w:rsidRPr="002B0B04">
              <w:rPr>
                <w:rFonts w:ascii="Verdana" w:hAnsi="Verdana"/>
                <w:noProof/>
                <w:sz w:val="16"/>
                <w:szCs w:val="16"/>
              </w:rPr>
              <w:t>(19,099)</w:t>
            </w:r>
          </w:p>
        </w:tc>
        <w:tc>
          <w:tcPr>
            <w:tcW w:w="1453" w:type="dxa"/>
            <w:tcBorders>
              <w:top w:val="nil"/>
              <w:left w:val="nil"/>
              <w:bottom w:val="nil"/>
              <w:right w:val="nil"/>
            </w:tcBorders>
            <w:noWrap/>
            <w:tcMar>
              <w:top w:w="0" w:type="dxa"/>
              <w:left w:w="15" w:type="dxa"/>
              <w:bottom w:w="0" w:type="dxa"/>
              <w:right w:w="15" w:type="dxa"/>
            </w:tcMar>
            <w:vAlign w:val="bottom"/>
          </w:tcPr>
          <w:p w:rsidR="00D856F2" w:rsidRPr="002B0B04" w:rsidRDefault="00D856F2" w:rsidP="00D856F2">
            <w:pPr>
              <w:jc w:val="right"/>
              <w:rPr>
                <w:rFonts w:ascii="Verdana" w:hAnsi="Verdana"/>
                <w:noProof/>
                <w:sz w:val="16"/>
                <w:szCs w:val="16"/>
              </w:rPr>
            </w:pPr>
            <w:r w:rsidRPr="002B0B04">
              <w:rPr>
                <w:rFonts w:ascii="Verdana" w:hAnsi="Verdana"/>
                <w:noProof/>
                <w:sz w:val="16"/>
                <w:szCs w:val="16"/>
              </w:rPr>
              <w:t>(15,107)</w:t>
            </w:r>
          </w:p>
        </w:tc>
        <w:tc>
          <w:tcPr>
            <w:tcW w:w="1276" w:type="dxa"/>
            <w:gridSpan w:val="2"/>
            <w:tcBorders>
              <w:top w:val="nil"/>
              <w:left w:val="nil"/>
              <w:bottom w:val="nil"/>
              <w:right w:val="nil"/>
            </w:tcBorders>
            <w:noWrap/>
            <w:tcMar>
              <w:top w:w="0" w:type="dxa"/>
              <w:left w:w="15" w:type="dxa"/>
              <w:bottom w:w="0" w:type="dxa"/>
              <w:right w:w="15" w:type="dxa"/>
            </w:tcMar>
            <w:vAlign w:val="bottom"/>
          </w:tcPr>
          <w:p w:rsidR="00D856F2" w:rsidRPr="00D31792" w:rsidRDefault="00D856F2" w:rsidP="00D856F2">
            <w:pPr>
              <w:jc w:val="right"/>
              <w:rPr>
                <w:rFonts w:ascii="Verdana" w:hAnsi="Verdana"/>
                <w:noProof/>
                <w:sz w:val="16"/>
                <w:szCs w:val="16"/>
              </w:rPr>
            </w:pPr>
          </w:p>
        </w:tc>
        <w:tc>
          <w:tcPr>
            <w:tcW w:w="283" w:type="dxa"/>
            <w:tcBorders>
              <w:top w:val="nil"/>
              <w:left w:val="nil"/>
              <w:bottom w:val="nil"/>
              <w:right w:val="nil"/>
            </w:tcBorders>
            <w:vAlign w:val="bottom"/>
          </w:tcPr>
          <w:p w:rsidR="00D856F2" w:rsidRPr="00353FCF" w:rsidRDefault="00D856F2" w:rsidP="00D856F2">
            <w:pPr>
              <w:jc w:val="right"/>
              <w:rPr>
                <w:rFonts w:ascii="Verdana" w:hAnsi="Verdana"/>
                <w:noProof/>
                <w:sz w:val="16"/>
                <w:szCs w:val="16"/>
                <w:lang w:val="en-GB"/>
              </w:rPr>
            </w:pPr>
          </w:p>
        </w:tc>
      </w:tr>
      <w:tr w:rsidR="00D856F2" w:rsidRPr="00353FCF" w:rsidTr="00D856F2">
        <w:trPr>
          <w:gridAfter w:val="2"/>
          <w:wAfter w:w="1701" w:type="dxa"/>
          <w:trHeight w:val="415"/>
        </w:trPr>
        <w:tc>
          <w:tcPr>
            <w:tcW w:w="3276" w:type="dxa"/>
            <w:gridSpan w:val="2"/>
            <w:tcBorders>
              <w:top w:val="nil"/>
              <w:left w:val="nil"/>
              <w:bottom w:val="nil"/>
              <w:right w:val="nil"/>
            </w:tcBorders>
            <w:noWrap/>
            <w:tcMar>
              <w:top w:w="0" w:type="dxa"/>
              <w:left w:w="15" w:type="dxa"/>
              <w:bottom w:w="0" w:type="dxa"/>
              <w:right w:w="15" w:type="dxa"/>
            </w:tcMar>
            <w:vAlign w:val="bottom"/>
          </w:tcPr>
          <w:p w:rsidR="00D856F2" w:rsidRPr="00353FCF" w:rsidRDefault="00D856F2" w:rsidP="00D856F2">
            <w:pPr>
              <w:jc w:val="both"/>
              <w:rPr>
                <w:rFonts w:ascii="Verdana" w:hAnsi="Verdana"/>
                <w:noProof/>
                <w:sz w:val="16"/>
                <w:szCs w:val="16"/>
                <w:lang w:val="en-GB"/>
              </w:rPr>
            </w:pPr>
            <w:r w:rsidRPr="00353FCF">
              <w:rPr>
                <w:rFonts w:ascii="Verdana" w:hAnsi="Verdana"/>
                <w:noProof/>
                <w:sz w:val="16"/>
                <w:szCs w:val="16"/>
                <w:lang w:val="en-GB"/>
              </w:rPr>
              <w:t>Profit from operations EBIT</w:t>
            </w:r>
          </w:p>
        </w:tc>
        <w:tc>
          <w:tcPr>
            <w:tcW w:w="1807" w:type="dxa"/>
            <w:tcBorders>
              <w:top w:val="nil"/>
              <w:left w:val="nil"/>
              <w:bottom w:val="nil"/>
              <w:right w:val="nil"/>
            </w:tcBorders>
            <w:tcMar>
              <w:top w:w="0" w:type="dxa"/>
              <w:left w:w="15" w:type="dxa"/>
              <w:bottom w:w="0" w:type="dxa"/>
              <w:right w:w="15" w:type="dxa"/>
            </w:tcMar>
            <w:vAlign w:val="bottom"/>
          </w:tcPr>
          <w:p w:rsidR="00D856F2" w:rsidRPr="00CA6FC7" w:rsidRDefault="00D856F2" w:rsidP="00D856F2">
            <w:pPr>
              <w:jc w:val="right"/>
              <w:rPr>
                <w:rFonts w:ascii="Verdana" w:hAnsi="Verdana"/>
                <w:noProof/>
                <w:sz w:val="16"/>
                <w:szCs w:val="16"/>
              </w:rPr>
            </w:pPr>
            <w:r w:rsidRPr="00CA6FC7">
              <w:rPr>
                <w:rFonts w:ascii="Verdana" w:hAnsi="Verdana"/>
                <w:noProof/>
                <w:sz w:val="16"/>
                <w:szCs w:val="16"/>
              </w:rPr>
              <w:t>4</w:t>
            </w:r>
            <w:r>
              <w:rPr>
                <w:rFonts w:ascii="Verdana" w:hAnsi="Verdana"/>
                <w:noProof/>
                <w:sz w:val="16"/>
                <w:szCs w:val="16"/>
              </w:rPr>
              <w:t>,</w:t>
            </w:r>
            <w:r w:rsidRPr="00CA6FC7">
              <w:rPr>
                <w:rFonts w:ascii="Verdana" w:hAnsi="Verdana"/>
                <w:noProof/>
                <w:sz w:val="16"/>
                <w:szCs w:val="16"/>
              </w:rPr>
              <w:t>421</w:t>
            </w:r>
          </w:p>
        </w:tc>
        <w:tc>
          <w:tcPr>
            <w:tcW w:w="1453" w:type="dxa"/>
            <w:tcBorders>
              <w:top w:val="nil"/>
              <w:left w:val="nil"/>
              <w:bottom w:val="nil"/>
              <w:right w:val="nil"/>
            </w:tcBorders>
            <w:noWrap/>
            <w:tcMar>
              <w:top w:w="0" w:type="dxa"/>
              <w:left w:w="15" w:type="dxa"/>
              <w:bottom w:w="0" w:type="dxa"/>
              <w:right w:w="15" w:type="dxa"/>
            </w:tcMar>
            <w:vAlign w:val="bottom"/>
          </w:tcPr>
          <w:p w:rsidR="00D856F2" w:rsidRPr="00A43B98" w:rsidRDefault="00D856F2" w:rsidP="00D856F2">
            <w:pPr>
              <w:jc w:val="right"/>
              <w:rPr>
                <w:rFonts w:ascii="Verdana" w:hAnsi="Verdana"/>
                <w:noProof/>
                <w:sz w:val="16"/>
                <w:szCs w:val="16"/>
              </w:rPr>
            </w:pPr>
            <w:r w:rsidRPr="00A43B98">
              <w:rPr>
                <w:rFonts w:ascii="Verdana" w:hAnsi="Verdana"/>
                <w:noProof/>
                <w:sz w:val="16"/>
                <w:szCs w:val="16"/>
              </w:rPr>
              <w:t>11</w:t>
            </w:r>
            <w:r>
              <w:rPr>
                <w:rFonts w:ascii="Verdana" w:hAnsi="Verdana"/>
                <w:noProof/>
                <w:sz w:val="16"/>
                <w:szCs w:val="16"/>
              </w:rPr>
              <w:t>,</w:t>
            </w:r>
            <w:r w:rsidRPr="00A43B98">
              <w:rPr>
                <w:rFonts w:ascii="Verdana" w:hAnsi="Verdana"/>
                <w:noProof/>
                <w:sz w:val="16"/>
                <w:szCs w:val="16"/>
              </w:rPr>
              <w:t>464</w:t>
            </w:r>
          </w:p>
        </w:tc>
        <w:tc>
          <w:tcPr>
            <w:tcW w:w="1276" w:type="dxa"/>
            <w:gridSpan w:val="2"/>
            <w:tcBorders>
              <w:top w:val="nil"/>
              <w:left w:val="nil"/>
              <w:bottom w:val="nil"/>
              <w:right w:val="nil"/>
            </w:tcBorders>
            <w:noWrap/>
            <w:tcMar>
              <w:top w:w="0" w:type="dxa"/>
              <w:left w:w="15" w:type="dxa"/>
              <w:bottom w:w="0" w:type="dxa"/>
              <w:right w:w="15" w:type="dxa"/>
            </w:tcMar>
            <w:vAlign w:val="bottom"/>
          </w:tcPr>
          <w:p w:rsidR="00D856F2" w:rsidRPr="00D31792" w:rsidRDefault="00D856F2" w:rsidP="00D856F2">
            <w:pPr>
              <w:jc w:val="right"/>
              <w:rPr>
                <w:rFonts w:ascii="Verdana" w:hAnsi="Verdana"/>
                <w:noProof/>
                <w:sz w:val="16"/>
                <w:szCs w:val="16"/>
              </w:rPr>
            </w:pPr>
          </w:p>
        </w:tc>
        <w:tc>
          <w:tcPr>
            <w:tcW w:w="283" w:type="dxa"/>
            <w:tcBorders>
              <w:top w:val="nil"/>
              <w:left w:val="nil"/>
              <w:bottom w:val="nil"/>
              <w:right w:val="nil"/>
            </w:tcBorders>
            <w:vAlign w:val="bottom"/>
          </w:tcPr>
          <w:p w:rsidR="00D856F2" w:rsidRPr="00353FCF" w:rsidRDefault="00D856F2" w:rsidP="00D856F2">
            <w:pPr>
              <w:jc w:val="right"/>
              <w:rPr>
                <w:rFonts w:ascii="Verdana" w:hAnsi="Verdana"/>
                <w:noProof/>
                <w:sz w:val="16"/>
                <w:szCs w:val="16"/>
                <w:lang w:val="en-GB"/>
              </w:rPr>
            </w:pPr>
          </w:p>
        </w:tc>
      </w:tr>
      <w:tr w:rsidR="00D856F2" w:rsidRPr="00353FCF" w:rsidTr="00D856F2">
        <w:trPr>
          <w:gridAfter w:val="2"/>
          <w:wAfter w:w="1701" w:type="dxa"/>
          <w:trHeight w:val="285"/>
        </w:trPr>
        <w:tc>
          <w:tcPr>
            <w:tcW w:w="3276" w:type="dxa"/>
            <w:gridSpan w:val="2"/>
            <w:tcBorders>
              <w:top w:val="nil"/>
              <w:left w:val="nil"/>
              <w:bottom w:val="nil"/>
              <w:right w:val="nil"/>
            </w:tcBorders>
            <w:noWrap/>
            <w:tcMar>
              <w:top w:w="0" w:type="dxa"/>
              <w:left w:w="15" w:type="dxa"/>
              <w:bottom w:w="0" w:type="dxa"/>
              <w:right w:w="15" w:type="dxa"/>
            </w:tcMar>
            <w:vAlign w:val="bottom"/>
          </w:tcPr>
          <w:p w:rsidR="00D856F2" w:rsidRDefault="00D856F2" w:rsidP="00D856F2">
            <w:pPr>
              <w:rPr>
                <w:rFonts w:ascii="Verdana" w:hAnsi="Verdana"/>
                <w:noProof/>
                <w:sz w:val="16"/>
                <w:szCs w:val="16"/>
                <w:lang w:val="en-GB"/>
              </w:rPr>
            </w:pPr>
          </w:p>
          <w:p w:rsidR="00D856F2" w:rsidRPr="00353FCF" w:rsidRDefault="00D856F2" w:rsidP="00D856F2">
            <w:pPr>
              <w:rPr>
                <w:rFonts w:ascii="Verdana" w:hAnsi="Verdana"/>
                <w:noProof/>
                <w:sz w:val="16"/>
                <w:szCs w:val="16"/>
                <w:lang w:val="en-GB"/>
              </w:rPr>
            </w:pPr>
            <w:r>
              <w:rPr>
                <w:rFonts w:ascii="Verdana" w:hAnsi="Verdana"/>
                <w:noProof/>
                <w:sz w:val="16"/>
                <w:szCs w:val="16"/>
                <w:lang w:val="en-GB"/>
              </w:rPr>
              <w:t>EBIT excluding cost due to restructuring</w:t>
            </w:r>
          </w:p>
        </w:tc>
        <w:tc>
          <w:tcPr>
            <w:tcW w:w="1807" w:type="dxa"/>
            <w:tcBorders>
              <w:top w:val="nil"/>
              <w:left w:val="nil"/>
              <w:bottom w:val="nil"/>
              <w:right w:val="nil"/>
            </w:tcBorders>
            <w:tcMar>
              <w:top w:w="0" w:type="dxa"/>
              <w:left w:w="15" w:type="dxa"/>
              <w:bottom w:w="0" w:type="dxa"/>
              <w:right w:w="15" w:type="dxa"/>
            </w:tcMar>
            <w:vAlign w:val="bottom"/>
          </w:tcPr>
          <w:p w:rsidR="00D856F2" w:rsidRPr="00726CCE" w:rsidRDefault="00D856F2" w:rsidP="00D856F2">
            <w:pPr>
              <w:jc w:val="right"/>
              <w:rPr>
                <w:rFonts w:ascii="Verdana" w:hAnsi="Verdana"/>
                <w:noProof/>
                <w:sz w:val="16"/>
                <w:szCs w:val="16"/>
                <w:lang w:val="en-GB"/>
              </w:rPr>
            </w:pPr>
            <w:r>
              <w:rPr>
                <w:rFonts w:ascii="Verdana" w:hAnsi="Verdana"/>
                <w:noProof/>
                <w:sz w:val="16"/>
                <w:szCs w:val="16"/>
                <w:lang w:val="en-GB"/>
              </w:rPr>
              <w:t>8,521</w:t>
            </w:r>
          </w:p>
        </w:tc>
        <w:tc>
          <w:tcPr>
            <w:tcW w:w="1453" w:type="dxa"/>
            <w:tcBorders>
              <w:top w:val="nil"/>
              <w:left w:val="nil"/>
              <w:bottom w:val="nil"/>
              <w:right w:val="nil"/>
            </w:tcBorders>
            <w:noWrap/>
            <w:tcMar>
              <w:top w:w="0" w:type="dxa"/>
              <w:left w:w="15" w:type="dxa"/>
              <w:bottom w:w="0" w:type="dxa"/>
              <w:right w:w="15" w:type="dxa"/>
            </w:tcMar>
            <w:vAlign w:val="bottom"/>
          </w:tcPr>
          <w:p w:rsidR="00D856F2" w:rsidRPr="00034C5D" w:rsidRDefault="00D856F2" w:rsidP="00D856F2">
            <w:pPr>
              <w:jc w:val="right"/>
              <w:rPr>
                <w:rFonts w:ascii="Verdana" w:hAnsi="Verdana"/>
                <w:noProof/>
                <w:sz w:val="16"/>
                <w:szCs w:val="16"/>
              </w:rPr>
            </w:pPr>
            <w:r>
              <w:rPr>
                <w:rFonts w:ascii="Verdana" w:hAnsi="Verdana"/>
                <w:noProof/>
                <w:sz w:val="16"/>
                <w:szCs w:val="16"/>
              </w:rPr>
              <w:t>11,464</w:t>
            </w:r>
          </w:p>
        </w:tc>
        <w:tc>
          <w:tcPr>
            <w:tcW w:w="1276" w:type="dxa"/>
            <w:gridSpan w:val="2"/>
            <w:tcBorders>
              <w:top w:val="nil"/>
              <w:left w:val="nil"/>
              <w:bottom w:val="nil"/>
              <w:right w:val="nil"/>
            </w:tcBorders>
            <w:noWrap/>
            <w:tcMar>
              <w:top w:w="0" w:type="dxa"/>
              <w:left w:w="15" w:type="dxa"/>
              <w:bottom w:w="0" w:type="dxa"/>
              <w:right w:w="15" w:type="dxa"/>
            </w:tcMar>
            <w:vAlign w:val="bottom"/>
          </w:tcPr>
          <w:p w:rsidR="00D856F2" w:rsidRPr="00D31792" w:rsidRDefault="00D856F2" w:rsidP="00D856F2">
            <w:pPr>
              <w:jc w:val="right"/>
              <w:rPr>
                <w:rFonts w:ascii="Verdana" w:hAnsi="Verdana"/>
                <w:noProof/>
                <w:sz w:val="16"/>
                <w:szCs w:val="16"/>
              </w:rPr>
            </w:pPr>
          </w:p>
        </w:tc>
        <w:tc>
          <w:tcPr>
            <w:tcW w:w="283" w:type="dxa"/>
            <w:tcBorders>
              <w:top w:val="nil"/>
              <w:left w:val="nil"/>
              <w:bottom w:val="nil"/>
              <w:right w:val="nil"/>
            </w:tcBorders>
            <w:vAlign w:val="bottom"/>
          </w:tcPr>
          <w:p w:rsidR="00D856F2" w:rsidRPr="00353FCF" w:rsidRDefault="00D856F2" w:rsidP="00D856F2">
            <w:pPr>
              <w:jc w:val="right"/>
              <w:rPr>
                <w:rFonts w:ascii="Verdana" w:hAnsi="Verdana"/>
                <w:noProof/>
                <w:sz w:val="16"/>
                <w:szCs w:val="16"/>
                <w:lang w:val="en-GB"/>
              </w:rPr>
            </w:pPr>
          </w:p>
        </w:tc>
      </w:tr>
      <w:tr w:rsidR="00D856F2" w:rsidRPr="00353FCF" w:rsidTr="00D856F2">
        <w:trPr>
          <w:gridAfter w:val="2"/>
          <w:wAfter w:w="1701" w:type="dxa"/>
          <w:trHeight w:val="285"/>
        </w:trPr>
        <w:tc>
          <w:tcPr>
            <w:tcW w:w="3276" w:type="dxa"/>
            <w:gridSpan w:val="2"/>
            <w:tcBorders>
              <w:top w:val="nil"/>
              <w:left w:val="nil"/>
              <w:bottom w:val="nil"/>
              <w:right w:val="nil"/>
            </w:tcBorders>
            <w:noWrap/>
            <w:tcMar>
              <w:top w:w="0" w:type="dxa"/>
              <w:left w:w="15" w:type="dxa"/>
              <w:bottom w:w="0" w:type="dxa"/>
              <w:right w:w="15" w:type="dxa"/>
            </w:tcMar>
            <w:vAlign w:val="bottom"/>
          </w:tcPr>
          <w:p w:rsidR="00D856F2" w:rsidRDefault="00D856F2" w:rsidP="00D856F2">
            <w:pPr>
              <w:jc w:val="both"/>
              <w:rPr>
                <w:rFonts w:ascii="Verdana" w:hAnsi="Verdana"/>
                <w:noProof/>
                <w:sz w:val="16"/>
                <w:szCs w:val="16"/>
                <w:lang w:val="en-GB"/>
              </w:rPr>
            </w:pPr>
          </w:p>
          <w:p w:rsidR="00D856F2" w:rsidRPr="00353FCF" w:rsidRDefault="00D856F2" w:rsidP="00D856F2">
            <w:pPr>
              <w:jc w:val="both"/>
              <w:rPr>
                <w:rFonts w:ascii="Verdana" w:hAnsi="Verdana"/>
                <w:noProof/>
                <w:sz w:val="16"/>
                <w:szCs w:val="16"/>
                <w:lang w:val="en-GB"/>
              </w:rPr>
            </w:pPr>
            <w:r w:rsidRPr="00353FCF">
              <w:rPr>
                <w:rFonts w:ascii="Verdana" w:hAnsi="Verdana"/>
                <w:noProof/>
                <w:sz w:val="16"/>
                <w:szCs w:val="16"/>
                <w:lang w:val="en-GB"/>
              </w:rPr>
              <w:t xml:space="preserve">EBITDA </w:t>
            </w:r>
          </w:p>
        </w:tc>
        <w:tc>
          <w:tcPr>
            <w:tcW w:w="1807" w:type="dxa"/>
            <w:tcBorders>
              <w:top w:val="nil"/>
              <w:left w:val="nil"/>
              <w:bottom w:val="nil"/>
              <w:right w:val="nil"/>
            </w:tcBorders>
            <w:tcMar>
              <w:top w:w="0" w:type="dxa"/>
              <w:left w:w="15" w:type="dxa"/>
              <w:bottom w:w="0" w:type="dxa"/>
              <w:right w:w="15" w:type="dxa"/>
            </w:tcMar>
            <w:vAlign w:val="bottom"/>
          </w:tcPr>
          <w:p w:rsidR="00D856F2" w:rsidRPr="00CA6FC7" w:rsidRDefault="00D856F2" w:rsidP="00D856F2">
            <w:pPr>
              <w:jc w:val="right"/>
              <w:rPr>
                <w:rFonts w:ascii="Verdana" w:hAnsi="Verdana"/>
                <w:noProof/>
                <w:sz w:val="16"/>
                <w:szCs w:val="16"/>
              </w:rPr>
            </w:pPr>
            <w:r w:rsidRPr="00CA6FC7">
              <w:rPr>
                <w:rFonts w:ascii="Verdana" w:hAnsi="Verdana"/>
                <w:noProof/>
                <w:sz w:val="16"/>
                <w:szCs w:val="16"/>
              </w:rPr>
              <w:t>11</w:t>
            </w:r>
            <w:r>
              <w:rPr>
                <w:rFonts w:ascii="Verdana" w:hAnsi="Verdana"/>
                <w:noProof/>
                <w:sz w:val="16"/>
                <w:szCs w:val="16"/>
              </w:rPr>
              <w:t>,</w:t>
            </w:r>
            <w:r w:rsidRPr="00CA6FC7">
              <w:rPr>
                <w:rFonts w:ascii="Verdana" w:hAnsi="Verdana"/>
                <w:noProof/>
                <w:sz w:val="16"/>
                <w:szCs w:val="16"/>
              </w:rPr>
              <w:t>473</w:t>
            </w:r>
          </w:p>
        </w:tc>
        <w:tc>
          <w:tcPr>
            <w:tcW w:w="1453" w:type="dxa"/>
            <w:tcBorders>
              <w:top w:val="nil"/>
              <w:left w:val="nil"/>
              <w:bottom w:val="nil"/>
              <w:right w:val="nil"/>
            </w:tcBorders>
            <w:noWrap/>
            <w:tcMar>
              <w:top w:w="0" w:type="dxa"/>
              <w:left w:w="15" w:type="dxa"/>
              <w:bottom w:w="0" w:type="dxa"/>
              <w:right w:w="15" w:type="dxa"/>
            </w:tcMar>
            <w:vAlign w:val="bottom"/>
          </w:tcPr>
          <w:p w:rsidR="00D856F2" w:rsidRPr="00A43B98" w:rsidRDefault="00D856F2" w:rsidP="00D856F2">
            <w:pPr>
              <w:jc w:val="right"/>
              <w:rPr>
                <w:rFonts w:ascii="Verdana" w:hAnsi="Verdana"/>
                <w:noProof/>
                <w:sz w:val="16"/>
                <w:szCs w:val="16"/>
              </w:rPr>
            </w:pPr>
            <w:r w:rsidRPr="00A43B98">
              <w:rPr>
                <w:rFonts w:ascii="Verdana" w:hAnsi="Verdana"/>
                <w:noProof/>
                <w:sz w:val="16"/>
                <w:szCs w:val="16"/>
              </w:rPr>
              <w:t>16</w:t>
            </w:r>
            <w:r>
              <w:rPr>
                <w:rFonts w:ascii="Verdana" w:hAnsi="Verdana"/>
                <w:noProof/>
                <w:sz w:val="16"/>
                <w:szCs w:val="16"/>
              </w:rPr>
              <w:t>,</w:t>
            </w:r>
            <w:r w:rsidRPr="00A43B98">
              <w:rPr>
                <w:rFonts w:ascii="Verdana" w:hAnsi="Verdana"/>
                <w:noProof/>
                <w:sz w:val="16"/>
                <w:szCs w:val="16"/>
              </w:rPr>
              <w:t>952</w:t>
            </w:r>
          </w:p>
        </w:tc>
        <w:tc>
          <w:tcPr>
            <w:tcW w:w="1276" w:type="dxa"/>
            <w:gridSpan w:val="2"/>
            <w:tcBorders>
              <w:top w:val="nil"/>
              <w:left w:val="nil"/>
              <w:bottom w:val="nil"/>
              <w:right w:val="nil"/>
            </w:tcBorders>
            <w:noWrap/>
            <w:tcMar>
              <w:top w:w="0" w:type="dxa"/>
              <w:left w:w="15" w:type="dxa"/>
              <w:bottom w:w="0" w:type="dxa"/>
              <w:right w:w="15" w:type="dxa"/>
            </w:tcMar>
          </w:tcPr>
          <w:p w:rsidR="00D856F2" w:rsidRPr="00D31792" w:rsidRDefault="00D856F2" w:rsidP="00D856F2">
            <w:pPr>
              <w:jc w:val="right"/>
              <w:rPr>
                <w:rFonts w:ascii="Verdana" w:hAnsi="Verdana"/>
                <w:noProof/>
                <w:sz w:val="16"/>
                <w:szCs w:val="16"/>
              </w:rPr>
            </w:pPr>
          </w:p>
        </w:tc>
        <w:tc>
          <w:tcPr>
            <w:tcW w:w="283" w:type="dxa"/>
            <w:tcBorders>
              <w:top w:val="nil"/>
              <w:left w:val="nil"/>
              <w:bottom w:val="nil"/>
              <w:right w:val="nil"/>
            </w:tcBorders>
          </w:tcPr>
          <w:p w:rsidR="00D856F2" w:rsidRPr="00353FCF" w:rsidRDefault="00D856F2" w:rsidP="00D856F2">
            <w:pPr>
              <w:jc w:val="right"/>
              <w:rPr>
                <w:rFonts w:ascii="Verdana" w:hAnsi="Verdana"/>
                <w:noProof/>
                <w:sz w:val="16"/>
                <w:szCs w:val="16"/>
                <w:lang w:val="en-GB"/>
              </w:rPr>
            </w:pPr>
          </w:p>
        </w:tc>
      </w:tr>
      <w:tr w:rsidR="00D856F2" w:rsidRPr="00353FCF" w:rsidTr="00D856F2">
        <w:trPr>
          <w:gridAfter w:val="2"/>
          <w:wAfter w:w="1701" w:type="dxa"/>
          <w:trHeight w:val="285"/>
        </w:trPr>
        <w:tc>
          <w:tcPr>
            <w:tcW w:w="3276" w:type="dxa"/>
            <w:gridSpan w:val="2"/>
            <w:tcBorders>
              <w:top w:val="nil"/>
              <w:left w:val="nil"/>
              <w:bottom w:val="nil"/>
              <w:right w:val="nil"/>
            </w:tcBorders>
            <w:noWrap/>
            <w:tcMar>
              <w:top w:w="15" w:type="dxa"/>
              <w:left w:w="15" w:type="dxa"/>
              <w:bottom w:w="0" w:type="dxa"/>
              <w:right w:w="15" w:type="dxa"/>
            </w:tcMar>
            <w:vAlign w:val="bottom"/>
          </w:tcPr>
          <w:p w:rsidR="00D856F2" w:rsidRPr="00353FCF" w:rsidRDefault="00D856F2" w:rsidP="00D856F2">
            <w:pPr>
              <w:jc w:val="both"/>
              <w:rPr>
                <w:rFonts w:ascii="Verdana" w:hAnsi="Verdana"/>
                <w:noProof/>
                <w:sz w:val="16"/>
                <w:szCs w:val="16"/>
                <w:highlight w:val="yellow"/>
                <w:lang w:val="en-GB"/>
              </w:rPr>
            </w:pPr>
          </w:p>
        </w:tc>
        <w:tc>
          <w:tcPr>
            <w:tcW w:w="1807" w:type="dxa"/>
            <w:tcBorders>
              <w:top w:val="nil"/>
              <w:left w:val="nil"/>
              <w:bottom w:val="nil"/>
              <w:right w:val="nil"/>
            </w:tcBorders>
            <w:tcMar>
              <w:top w:w="15" w:type="dxa"/>
              <w:left w:w="15" w:type="dxa"/>
              <w:bottom w:w="0" w:type="dxa"/>
              <w:right w:w="15" w:type="dxa"/>
            </w:tcMar>
            <w:vAlign w:val="bottom"/>
          </w:tcPr>
          <w:p w:rsidR="00D856F2" w:rsidRPr="007B1C48" w:rsidRDefault="00D856F2" w:rsidP="00D856F2">
            <w:pPr>
              <w:jc w:val="right"/>
              <w:rPr>
                <w:rFonts w:ascii="Verdana" w:hAnsi="Verdana"/>
                <w:noProof/>
                <w:sz w:val="16"/>
                <w:szCs w:val="16"/>
                <w:highlight w:val="yellow"/>
              </w:rPr>
            </w:pPr>
          </w:p>
        </w:tc>
        <w:tc>
          <w:tcPr>
            <w:tcW w:w="1453" w:type="dxa"/>
            <w:tcBorders>
              <w:top w:val="nil"/>
              <w:left w:val="nil"/>
              <w:bottom w:val="nil"/>
              <w:right w:val="nil"/>
            </w:tcBorders>
            <w:noWrap/>
            <w:tcMar>
              <w:top w:w="15" w:type="dxa"/>
              <w:left w:w="15" w:type="dxa"/>
              <w:bottom w:w="0" w:type="dxa"/>
              <w:right w:w="15" w:type="dxa"/>
            </w:tcMar>
            <w:vAlign w:val="bottom"/>
          </w:tcPr>
          <w:p w:rsidR="00D856F2" w:rsidRPr="007B1C48" w:rsidRDefault="00D856F2" w:rsidP="00D856F2">
            <w:pPr>
              <w:jc w:val="right"/>
              <w:rPr>
                <w:rFonts w:ascii="Verdana" w:hAnsi="Verdana"/>
                <w:noProof/>
                <w:sz w:val="16"/>
                <w:szCs w:val="16"/>
                <w:highlight w:val="yellow"/>
              </w:rPr>
            </w:pPr>
          </w:p>
        </w:tc>
        <w:tc>
          <w:tcPr>
            <w:tcW w:w="1276" w:type="dxa"/>
            <w:gridSpan w:val="2"/>
            <w:tcBorders>
              <w:top w:val="nil"/>
              <w:left w:val="nil"/>
              <w:bottom w:val="nil"/>
              <w:right w:val="nil"/>
            </w:tcBorders>
            <w:noWrap/>
            <w:tcMar>
              <w:top w:w="15" w:type="dxa"/>
              <w:left w:w="15" w:type="dxa"/>
              <w:bottom w:w="0" w:type="dxa"/>
              <w:right w:w="15" w:type="dxa"/>
            </w:tcMar>
          </w:tcPr>
          <w:p w:rsidR="00D856F2" w:rsidRPr="007B1C48" w:rsidRDefault="00D856F2" w:rsidP="00D856F2">
            <w:pPr>
              <w:jc w:val="right"/>
              <w:rPr>
                <w:rFonts w:ascii="Verdana" w:hAnsi="Verdana"/>
                <w:noProof/>
                <w:sz w:val="16"/>
                <w:szCs w:val="16"/>
                <w:highlight w:val="yellow"/>
              </w:rPr>
            </w:pPr>
          </w:p>
        </w:tc>
        <w:tc>
          <w:tcPr>
            <w:tcW w:w="283" w:type="dxa"/>
            <w:tcBorders>
              <w:top w:val="nil"/>
              <w:left w:val="nil"/>
              <w:bottom w:val="nil"/>
              <w:right w:val="nil"/>
            </w:tcBorders>
          </w:tcPr>
          <w:p w:rsidR="00D856F2" w:rsidRPr="00353FCF" w:rsidRDefault="00D856F2" w:rsidP="00D856F2">
            <w:pPr>
              <w:jc w:val="right"/>
              <w:rPr>
                <w:rFonts w:ascii="Verdana" w:hAnsi="Verdana"/>
                <w:noProof/>
                <w:sz w:val="16"/>
                <w:szCs w:val="16"/>
                <w:highlight w:val="yellow"/>
                <w:lang w:val="en-GB"/>
              </w:rPr>
            </w:pPr>
          </w:p>
        </w:tc>
      </w:tr>
      <w:tr w:rsidR="00D856F2" w:rsidRPr="00353FCF" w:rsidTr="00D856F2">
        <w:trPr>
          <w:gridAfter w:val="2"/>
          <w:wAfter w:w="1701" w:type="dxa"/>
          <w:trHeight w:val="255"/>
        </w:trPr>
        <w:tc>
          <w:tcPr>
            <w:tcW w:w="3276" w:type="dxa"/>
            <w:gridSpan w:val="2"/>
            <w:tcBorders>
              <w:top w:val="nil"/>
              <w:left w:val="nil"/>
              <w:bottom w:val="nil"/>
              <w:right w:val="nil"/>
            </w:tcBorders>
            <w:shd w:val="clear" w:color="auto" w:fill="C0C0C0"/>
            <w:noWrap/>
            <w:tcMar>
              <w:top w:w="0" w:type="dxa"/>
              <w:left w:w="15" w:type="dxa"/>
              <w:bottom w:w="0" w:type="dxa"/>
              <w:right w:w="15" w:type="dxa"/>
            </w:tcMar>
            <w:vAlign w:val="bottom"/>
          </w:tcPr>
          <w:p w:rsidR="00D856F2" w:rsidRPr="00353FCF" w:rsidRDefault="00D856F2" w:rsidP="00D856F2">
            <w:pPr>
              <w:jc w:val="both"/>
              <w:rPr>
                <w:rFonts w:ascii="Verdana" w:hAnsi="Verdana"/>
                <w:b/>
                <w:noProof/>
                <w:sz w:val="16"/>
                <w:szCs w:val="16"/>
                <w:lang w:val="en-GB"/>
              </w:rPr>
            </w:pPr>
            <w:r w:rsidRPr="00353FCF">
              <w:rPr>
                <w:rFonts w:ascii="Verdana" w:hAnsi="Verdana"/>
                <w:b/>
                <w:noProof/>
                <w:sz w:val="16"/>
                <w:szCs w:val="16"/>
                <w:lang w:val="en-GB"/>
              </w:rPr>
              <w:t>Percent of sales</w:t>
            </w:r>
          </w:p>
        </w:tc>
        <w:tc>
          <w:tcPr>
            <w:tcW w:w="1807" w:type="dxa"/>
            <w:tcBorders>
              <w:top w:val="nil"/>
              <w:left w:val="nil"/>
              <w:bottom w:val="nil"/>
              <w:right w:val="nil"/>
            </w:tcBorders>
            <w:shd w:val="clear" w:color="auto" w:fill="C0C0C0"/>
            <w:tcMar>
              <w:top w:w="0" w:type="dxa"/>
              <w:left w:w="15" w:type="dxa"/>
              <w:bottom w:w="0" w:type="dxa"/>
              <w:right w:w="15" w:type="dxa"/>
            </w:tcMar>
            <w:vAlign w:val="bottom"/>
          </w:tcPr>
          <w:p w:rsidR="00D856F2" w:rsidRPr="007B1C48" w:rsidRDefault="00D856F2" w:rsidP="00D856F2">
            <w:pPr>
              <w:jc w:val="right"/>
              <w:rPr>
                <w:rFonts w:ascii="Verdana" w:hAnsi="Verdana"/>
                <w:noProof/>
                <w:sz w:val="16"/>
                <w:szCs w:val="16"/>
                <w:highlight w:val="yellow"/>
              </w:rPr>
            </w:pPr>
          </w:p>
        </w:tc>
        <w:tc>
          <w:tcPr>
            <w:tcW w:w="1453" w:type="dxa"/>
            <w:tcBorders>
              <w:top w:val="nil"/>
              <w:left w:val="nil"/>
              <w:bottom w:val="nil"/>
              <w:right w:val="nil"/>
            </w:tcBorders>
            <w:shd w:val="clear" w:color="auto" w:fill="C0C0C0"/>
            <w:noWrap/>
            <w:tcMar>
              <w:top w:w="0" w:type="dxa"/>
              <w:left w:w="15" w:type="dxa"/>
              <w:bottom w:w="0" w:type="dxa"/>
              <w:right w:w="15" w:type="dxa"/>
            </w:tcMar>
            <w:vAlign w:val="bottom"/>
          </w:tcPr>
          <w:p w:rsidR="00D856F2" w:rsidRPr="007B1C48" w:rsidRDefault="00D856F2" w:rsidP="00D856F2">
            <w:pPr>
              <w:jc w:val="right"/>
              <w:rPr>
                <w:rFonts w:ascii="Verdana" w:hAnsi="Verdana"/>
                <w:noProof/>
                <w:sz w:val="16"/>
                <w:szCs w:val="16"/>
                <w:highlight w:val="yellow"/>
              </w:rPr>
            </w:pPr>
          </w:p>
        </w:tc>
        <w:tc>
          <w:tcPr>
            <w:tcW w:w="1276" w:type="dxa"/>
            <w:gridSpan w:val="2"/>
            <w:tcBorders>
              <w:top w:val="nil"/>
              <w:left w:val="nil"/>
              <w:bottom w:val="nil"/>
              <w:right w:val="nil"/>
            </w:tcBorders>
            <w:shd w:val="clear" w:color="auto" w:fill="C0C0C0"/>
            <w:noWrap/>
            <w:tcMar>
              <w:top w:w="0" w:type="dxa"/>
              <w:left w:w="15" w:type="dxa"/>
              <w:bottom w:w="0" w:type="dxa"/>
              <w:right w:w="15" w:type="dxa"/>
            </w:tcMar>
          </w:tcPr>
          <w:p w:rsidR="00D856F2" w:rsidRPr="007B1C48" w:rsidRDefault="00D856F2" w:rsidP="00D856F2">
            <w:pPr>
              <w:jc w:val="right"/>
              <w:rPr>
                <w:rFonts w:ascii="Verdana" w:hAnsi="Verdana"/>
                <w:noProof/>
                <w:sz w:val="16"/>
                <w:szCs w:val="16"/>
                <w:highlight w:val="yellow"/>
              </w:rPr>
            </w:pPr>
          </w:p>
        </w:tc>
        <w:tc>
          <w:tcPr>
            <w:tcW w:w="283" w:type="dxa"/>
            <w:tcBorders>
              <w:top w:val="nil"/>
              <w:left w:val="nil"/>
              <w:bottom w:val="nil"/>
              <w:right w:val="nil"/>
            </w:tcBorders>
            <w:shd w:val="clear" w:color="auto" w:fill="C0C0C0"/>
          </w:tcPr>
          <w:p w:rsidR="00D856F2" w:rsidRPr="00353FCF" w:rsidRDefault="00D856F2" w:rsidP="00D856F2">
            <w:pPr>
              <w:jc w:val="right"/>
              <w:rPr>
                <w:rFonts w:ascii="Verdana" w:hAnsi="Verdana"/>
                <w:noProof/>
                <w:sz w:val="16"/>
                <w:szCs w:val="16"/>
                <w:highlight w:val="yellow"/>
                <w:lang w:val="en-GB"/>
              </w:rPr>
            </w:pPr>
          </w:p>
        </w:tc>
      </w:tr>
      <w:tr w:rsidR="00D856F2" w:rsidRPr="00353FCF" w:rsidTr="00D856F2">
        <w:trPr>
          <w:gridAfter w:val="2"/>
          <w:wAfter w:w="1701" w:type="dxa"/>
          <w:trHeight w:val="285"/>
        </w:trPr>
        <w:tc>
          <w:tcPr>
            <w:tcW w:w="3276" w:type="dxa"/>
            <w:gridSpan w:val="2"/>
            <w:tcBorders>
              <w:top w:val="nil"/>
              <w:left w:val="nil"/>
              <w:bottom w:val="nil"/>
              <w:right w:val="nil"/>
            </w:tcBorders>
            <w:noWrap/>
            <w:tcMar>
              <w:top w:w="0" w:type="dxa"/>
              <w:left w:w="15" w:type="dxa"/>
              <w:bottom w:w="0" w:type="dxa"/>
              <w:right w:w="15" w:type="dxa"/>
            </w:tcMar>
            <w:vAlign w:val="bottom"/>
          </w:tcPr>
          <w:p w:rsidR="00D856F2" w:rsidRPr="00353FCF" w:rsidRDefault="00D856F2" w:rsidP="00D856F2">
            <w:pPr>
              <w:jc w:val="both"/>
              <w:rPr>
                <w:rFonts w:ascii="Verdana" w:hAnsi="Verdana"/>
                <w:noProof/>
                <w:sz w:val="16"/>
                <w:szCs w:val="16"/>
                <w:lang w:val="en-GB"/>
              </w:rPr>
            </w:pPr>
            <w:r w:rsidRPr="00353FCF">
              <w:rPr>
                <w:rFonts w:ascii="Verdana" w:hAnsi="Verdana"/>
                <w:noProof/>
                <w:sz w:val="16"/>
                <w:szCs w:val="16"/>
                <w:lang w:val="en-GB"/>
              </w:rPr>
              <w:t>Contribution margin</w:t>
            </w:r>
          </w:p>
        </w:tc>
        <w:tc>
          <w:tcPr>
            <w:tcW w:w="1807" w:type="dxa"/>
            <w:tcBorders>
              <w:top w:val="nil"/>
              <w:left w:val="nil"/>
              <w:bottom w:val="nil"/>
              <w:right w:val="nil"/>
            </w:tcBorders>
            <w:tcMar>
              <w:top w:w="0" w:type="dxa"/>
              <w:left w:w="15" w:type="dxa"/>
              <w:bottom w:w="0" w:type="dxa"/>
              <w:right w:w="15" w:type="dxa"/>
            </w:tcMar>
            <w:vAlign w:val="bottom"/>
          </w:tcPr>
          <w:p w:rsidR="00D856F2" w:rsidRPr="00271032" w:rsidRDefault="00D856F2" w:rsidP="00D856F2">
            <w:pPr>
              <w:jc w:val="right"/>
              <w:rPr>
                <w:rFonts w:ascii="Verdana" w:hAnsi="Verdana"/>
                <w:noProof/>
                <w:sz w:val="16"/>
                <w:szCs w:val="16"/>
              </w:rPr>
            </w:pPr>
            <w:r w:rsidRPr="00271032">
              <w:rPr>
                <w:rFonts w:ascii="Verdana" w:hAnsi="Verdana"/>
                <w:noProof/>
                <w:sz w:val="16"/>
                <w:szCs w:val="16"/>
              </w:rPr>
              <w:t>35</w:t>
            </w:r>
            <w:r>
              <w:rPr>
                <w:rFonts w:ascii="Verdana" w:hAnsi="Verdana"/>
                <w:noProof/>
                <w:sz w:val="16"/>
                <w:szCs w:val="16"/>
              </w:rPr>
              <w:t>.</w:t>
            </w:r>
            <w:r w:rsidRPr="00271032">
              <w:rPr>
                <w:rFonts w:ascii="Verdana" w:hAnsi="Verdana"/>
                <w:noProof/>
                <w:sz w:val="16"/>
                <w:szCs w:val="16"/>
              </w:rPr>
              <w:t>8%</w:t>
            </w:r>
          </w:p>
        </w:tc>
        <w:tc>
          <w:tcPr>
            <w:tcW w:w="1453" w:type="dxa"/>
            <w:tcBorders>
              <w:top w:val="nil"/>
              <w:left w:val="nil"/>
              <w:bottom w:val="nil"/>
              <w:right w:val="nil"/>
            </w:tcBorders>
            <w:noWrap/>
            <w:tcMar>
              <w:top w:w="0" w:type="dxa"/>
              <w:left w:w="15" w:type="dxa"/>
              <w:bottom w:w="0" w:type="dxa"/>
              <w:right w:w="15" w:type="dxa"/>
            </w:tcMar>
            <w:vAlign w:val="bottom"/>
          </w:tcPr>
          <w:p w:rsidR="00D856F2" w:rsidRPr="00A43B98" w:rsidRDefault="00D856F2" w:rsidP="00D856F2">
            <w:pPr>
              <w:jc w:val="right"/>
              <w:rPr>
                <w:rFonts w:ascii="Verdana" w:hAnsi="Verdana"/>
                <w:noProof/>
                <w:sz w:val="16"/>
                <w:szCs w:val="16"/>
              </w:rPr>
            </w:pPr>
            <w:r w:rsidRPr="00A43B98">
              <w:rPr>
                <w:rFonts w:ascii="Verdana" w:hAnsi="Verdana"/>
                <w:noProof/>
                <w:sz w:val="16"/>
                <w:szCs w:val="16"/>
              </w:rPr>
              <w:t>35</w:t>
            </w:r>
            <w:r>
              <w:rPr>
                <w:rFonts w:ascii="Verdana" w:hAnsi="Verdana"/>
                <w:noProof/>
                <w:sz w:val="16"/>
                <w:szCs w:val="16"/>
              </w:rPr>
              <w:t>.</w:t>
            </w:r>
            <w:r w:rsidRPr="00A43B98">
              <w:rPr>
                <w:rFonts w:ascii="Verdana" w:hAnsi="Verdana"/>
                <w:noProof/>
                <w:sz w:val="16"/>
                <w:szCs w:val="16"/>
              </w:rPr>
              <w:t>0%</w:t>
            </w:r>
          </w:p>
        </w:tc>
        <w:tc>
          <w:tcPr>
            <w:tcW w:w="1276" w:type="dxa"/>
            <w:gridSpan w:val="2"/>
            <w:tcBorders>
              <w:top w:val="nil"/>
              <w:left w:val="nil"/>
              <w:bottom w:val="nil"/>
              <w:right w:val="nil"/>
            </w:tcBorders>
            <w:noWrap/>
            <w:tcMar>
              <w:top w:w="0" w:type="dxa"/>
              <w:left w:w="15" w:type="dxa"/>
              <w:bottom w:w="0" w:type="dxa"/>
              <w:right w:w="15" w:type="dxa"/>
            </w:tcMar>
          </w:tcPr>
          <w:p w:rsidR="00D856F2" w:rsidRPr="00F92C4C" w:rsidRDefault="00D856F2" w:rsidP="00D856F2">
            <w:pPr>
              <w:jc w:val="right"/>
              <w:rPr>
                <w:rFonts w:ascii="Verdana" w:hAnsi="Verdana"/>
                <w:noProof/>
                <w:sz w:val="16"/>
                <w:szCs w:val="16"/>
              </w:rPr>
            </w:pPr>
          </w:p>
        </w:tc>
        <w:tc>
          <w:tcPr>
            <w:tcW w:w="283" w:type="dxa"/>
            <w:tcBorders>
              <w:top w:val="nil"/>
              <w:left w:val="nil"/>
              <w:bottom w:val="nil"/>
              <w:right w:val="nil"/>
            </w:tcBorders>
          </w:tcPr>
          <w:p w:rsidR="00D856F2" w:rsidRPr="00353FCF" w:rsidRDefault="00D856F2" w:rsidP="00D856F2">
            <w:pPr>
              <w:jc w:val="right"/>
              <w:rPr>
                <w:rFonts w:ascii="Verdana" w:hAnsi="Verdana"/>
                <w:noProof/>
                <w:sz w:val="16"/>
                <w:szCs w:val="16"/>
                <w:lang w:val="en-GB"/>
              </w:rPr>
            </w:pPr>
          </w:p>
        </w:tc>
      </w:tr>
      <w:tr w:rsidR="00D856F2" w:rsidRPr="00353FCF" w:rsidTr="00D856F2">
        <w:trPr>
          <w:gridAfter w:val="2"/>
          <w:wAfter w:w="1701" w:type="dxa"/>
          <w:trHeight w:val="285"/>
        </w:trPr>
        <w:tc>
          <w:tcPr>
            <w:tcW w:w="3276" w:type="dxa"/>
            <w:gridSpan w:val="2"/>
            <w:tcBorders>
              <w:top w:val="nil"/>
              <w:left w:val="nil"/>
              <w:bottom w:val="nil"/>
              <w:right w:val="nil"/>
            </w:tcBorders>
            <w:noWrap/>
            <w:tcMar>
              <w:top w:w="0" w:type="dxa"/>
              <w:left w:w="15" w:type="dxa"/>
              <w:bottom w:w="0" w:type="dxa"/>
              <w:right w:w="15" w:type="dxa"/>
            </w:tcMar>
            <w:vAlign w:val="bottom"/>
          </w:tcPr>
          <w:p w:rsidR="00D856F2" w:rsidRPr="00353FCF" w:rsidRDefault="00D856F2" w:rsidP="00D856F2">
            <w:pPr>
              <w:jc w:val="both"/>
              <w:rPr>
                <w:rFonts w:ascii="Verdana" w:hAnsi="Verdana"/>
                <w:noProof/>
                <w:sz w:val="16"/>
                <w:szCs w:val="16"/>
                <w:lang w:val="en-GB"/>
              </w:rPr>
            </w:pPr>
            <w:r w:rsidRPr="00353FCF">
              <w:rPr>
                <w:rFonts w:ascii="Verdana" w:hAnsi="Verdana"/>
                <w:noProof/>
                <w:sz w:val="16"/>
                <w:szCs w:val="16"/>
                <w:lang w:val="en-GB"/>
              </w:rPr>
              <w:t>Sales &amp; marketing expenses</w:t>
            </w:r>
          </w:p>
        </w:tc>
        <w:tc>
          <w:tcPr>
            <w:tcW w:w="1807" w:type="dxa"/>
            <w:tcBorders>
              <w:top w:val="nil"/>
              <w:left w:val="nil"/>
              <w:bottom w:val="nil"/>
              <w:right w:val="nil"/>
            </w:tcBorders>
            <w:tcMar>
              <w:top w:w="0" w:type="dxa"/>
              <w:left w:w="15" w:type="dxa"/>
              <w:bottom w:w="0" w:type="dxa"/>
              <w:right w:w="15" w:type="dxa"/>
            </w:tcMar>
            <w:vAlign w:val="bottom"/>
          </w:tcPr>
          <w:p w:rsidR="00D856F2" w:rsidRPr="00271032" w:rsidRDefault="00D856F2" w:rsidP="00D856F2">
            <w:pPr>
              <w:jc w:val="right"/>
              <w:rPr>
                <w:rFonts w:ascii="Verdana" w:hAnsi="Verdana"/>
                <w:noProof/>
                <w:sz w:val="16"/>
                <w:szCs w:val="16"/>
              </w:rPr>
            </w:pPr>
            <w:r w:rsidRPr="00271032">
              <w:rPr>
                <w:rFonts w:ascii="Verdana" w:hAnsi="Verdana"/>
                <w:noProof/>
                <w:sz w:val="16"/>
                <w:szCs w:val="16"/>
              </w:rPr>
              <w:t>13</w:t>
            </w:r>
            <w:r>
              <w:rPr>
                <w:rFonts w:ascii="Verdana" w:hAnsi="Verdana"/>
                <w:noProof/>
                <w:sz w:val="16"/>
                <w:szCs w:val="16"/>
              </w:rPr>
              <w:t>.</w:t>
            </w:r>
            <w:r w:rsidRPr="00271032">
              <w:rPr>
                <w:rFonts w:ascii="Verdana" w:hAnsi="Verdana"/>
                <w:noProof/>
                <w:sz w:val="16"/>
                <w:szCs w:val="16"/>
              </w:rPr>
              <w:t>6%</w:t>
            </w:r>
          </w:p>
        </w:tc>
        <w:tc>
          <w:tcPr>
            <w:tcW w:w="1453" w:type="dxa"/>
            <w:tcBorders>
              <w:top w:val="nil"/>
              <w:left w:val="nil"/>
              <w:bottom w:val="nil"/>
              <w:right w:val="nil"/>
            </w:tcBorders>
            <w:noWrap/>
            <w:tcMar>
              <w:top w:w="0" w:type="dxa"/>
              <w:left w:w="15" w:type="dxa"/>
              <w:bottom w:w="0" w:type="dxa"/>
              <w:right w:w="15" w:type="dxa"/>
            </w:tcMar>
            <w:vAlign w:val="bottom"/>
          </w:tcPr>
          <w:p w:rsidR="00D856F2" w:rsidRPr="00A43B98" w:rsidRDefault="00D856F2" w:rsidP="00D856F2">
            <w:pPr>
              <w:jc w:val="right"/>
              <w:rPr>
                <w:rFonts w:ascii="Verdana" w:hAnsi="Verdana"/>
                <w:noProof/>
                <w:sz w:val="16"/>
                <w:szCs w:val="16"/>
              </w:rPr>
            </w:pPr>
            <w:r w:rsidRPr="00A43B98">
              <w:rPr>
                <w:rFonts w:ascii="Verdana" w:hAnsi="Verdana"/>
                <w:noProof/>
                <w:sz w:val="16"/>
                <w:szCs w:val="16"/>
              </w:rPr>
              <w:t>13</w:t>
            </w:r>
            <w:r>
              <w:rPr>
                <w:rFonts w:ascii="Verdana" w:hAnsi="Verdana"/>
                <w:noProof/>
                <w:sz w:val="16"/>
                <w:szCs w:val="16"/>
              </w:rPr>
              <w:t>.</w:t>
            </w:r>
            <w:r w:rsidRPr="00A43B98">
              <w:rPr>
                <w:rFonts w:ascii="Verdana" w:hAnsi="Verdana"/>
                <w:noProof/>
                <w:sz w:val="16"/>
                <w:szCs w:val="16"/>
              </w:rPr>
              <w:t>4%</w:t>
            </w:r>
          </w:p>
        </w:tc>
        <w:tc>
          <w:tcPr>
            <w:tcW w:w="1276" w:type="dxa"/>
            <w:gridSpan w:val="2"/>
            <w:tcBorders>
              <w:top w:val="nil"/>
              <w:left w:val="nil"/>
              <w:bottom w:val="nil"/>
              <w:right w:val="nil"/>
            </w:tcBorders>
            <w:noWrap/>
            <w:tcMar>
              <w:top w:w="0" w:type="dxa"/>
              <w:left w:w="15" w:type="dxa"/>
              <w:bottom w:w="0" w:type="dxa"/>
              <w:right w:w="15" w:type="dxa"/>
            </w:tcMar>
          </w:tcPr>
          <w:p w:rsidR="00D856F2" w:rsidRPr="00F92C4C" w:rsidRDefault="00D856F2" w:rsidP="00D856F2">
            <w:pPr>
              <w:jc w:val="right"/>
              <w:rPr>
                <w:rFonts w:ascii="Verdana" w:hAnsi="Verdana"/>
                <w:noProof/>
                <w:sz w:val="16"/>
                <w:szCs w:val="16"/>
              </w:rPr>
            </w:pPr>
          </w:p>
        </w:tc>
        <w:tc>
          <w:tcPr>
            <w:tcW w:w="283" w:type="dxa"/>
            <w:tcBorders>
              <w:top w:val="nil"/>
              <w:left w:val="nil"/>
              <w:bottom w:val="nil"/>
              <w:right w:val="nil"/>
            </w:tcBorders>
          </w:tcPr>
          <w:p w:rsidR="00D856F2" w:rsidRPr="00353FCF" w:rsidRDefault="00D856F2" w:rsidP="00D856F2">
            <w:pPr>
              <w:jc w:val="right"/>
              <w:rPr>
                <w:rFonts w:ascii="Verdana" w:hAnsi="Verdana"/>
                <w:noProof/>
                <w:sz w:val="16"/>
                <w:szCs w:val="16"/>
                <w:lang w:val="en-GB"/>
              </w:rPr>
            </w:pPr>
          </w:p>
        </w:tc>
      </w:tr>
      <w:tr w:rsidR="00D856F2" w:rsidRPr="00353FCF" w:rsidTr="00D856F2">
        <w:trPr>
          <w:gridAfter w:val="2"/>
          <w:wAfter w:w="1701" w:type="dxa"/>
          <w:trHeight w:val="285"/>
        </w:trPr>
        <w:tc>
          <w:tcPr>
            <w:tcW w:w="3276" w:type="dxa"/>
            <w:gridSpan w:val="2"/>
            <w:tcBorders>
              <w:top w:val="nil"/>
              <w:left w:val="nil"/>
              <w:bottom w:val="nil"/>
              <w:right w:val="nil"/>
            </w:tcBorders>
            <w:noWrap/>
            <w:tcMar>
              <w:top w:w="0" w:type="dxa"/>
              <w:left w:w="15" w:type="dxa"/>
              <w:bottom w:w="0" w:type="dxa"/>
              <w:right w:w="15" w:type="dxa"/>
            </w:tcMar>
            <w:vAlign w:val="bottom"/>
          </w:tcPr>
          <w:p w:rsidR="00D856F2" w:rsidRPr="00353FCF" w:rsidRDefault="00D856F2" w:rsidP="00D856F2">
            <w:pPr>
              <w:jc w:val="both"/>
              <w:rPr>
                <w:rFonts w:ascii="Verdana" w:hAnsi="Verdana"/>
                <w:noProof/>
                <w:sz w:val="16"/>
                <w:szCs w:val="16"/>
                <w:lang w:val="en-GB"/>
              </w:rPr>
            </w:pPr>
            <w:r w:rsidRPr="00353FCF">
              <w:rPr>
                <w:rFonts w:ascii="Verdana" w:hAnsi="Verdana"/>
                <w:noProof/>
                <w:sz w:val="16"/>
                <w:szCs w:val="16"/>
                <w:lang w:val="en-GB"/>
              </w:rPr>
              <w:t>Development expenses charged</w:t>
            </w:r>
          </w:p>
        </w:tc>
        <w:tc>
          <w:tcPr>
            <w:tcW w:w="1807" w:type="dxa"/>
            <w:tcBorders>
              <w:top w:val="nil"/>
              <w:left w:val="nil"/>
              <w:bottom w:val="nil"/>
              <w:right w:val="nil"/>
            </w:tcBorders>
            <w:tcMar>
              <w:top w:w="0" w:type="dxa"/>
              <w:left w:w="15" w:type="dxa"/>
              <w:bottom w:w="0" w:type="dxa"/>
              <w:right w:w="15" w:type="dxa"/>
            </w:tcMar>
            <w:vAlign w:val="bottom"/>
          </w:tcPr>
          <w:p w:rsidR="00D856F2" w:rsidRPr="00271032" w:rsidRDefault="00D856F2" w:rsidP="00D856F2">
            <w:pPr>
              <w:jc w:val="right"/>
              <w:rPr>
                <w:rFonts w:ascii="Verdana" w:hAnsi="Verdana"/>
                <w:noProof/>
                <w:sz w:val="16"/>
                <w:szCs w:val="16"/>
              </w:rPr>
            </w:pPr>
            <w:r w:rsidRPr="00271032">
              <w:rPr>
                <w:rFonts w:ascii="Verdana" w:hAnsi="Verdana"/>
                <w:noProof/>
                <w:sz w:val="16"/>
                <w:szCs w:val="16"/>
              </w:rPr>
              <w:t>5</w:t>
            </w:r>
            <w:r>
              <w:rPr>
                <w:rFonts w:ascii="Verdana" w:hAnsi="Verdana"/>
                <w:noProof/>
                <w:sz w:val="16"/>
                <w:szCs w:val="16"/>
              </w:rPr>
              <w:t>.</w:t>
            </w:r>
            <w:r w:rsidRPr="00271032">
              <w:rPr>
                <w:rFonts w:ascii="Verdana" w:hAnsi="Verdana"/>
                <w:noProof/>
                <w:sz w:val="16"/>
                <w:szCs w:val="16"/>
              </w:rPr>
              <w:t>0%</w:t>
            </w:r>
          </w:p>
        </w:tc>
        <w:tc>
          <w:tcPr>
            <w:tcW w:w="1453" w:type="dxa"/>
            <w:tcBorders>
              <w:top w:val="nil"/>
              <w:left w:val="nil"/>
              <w:bottom w:val="nil"/>
              <w:right w:val="nil"/>
            </w:tcBorders>
            <w:noWrap/>
            <w:tcMar>
              <w:top w:w="0" w:type="dxa"/>
              <w:left w:w="15" w:type="dxa"/>
              <w:bottom w:w="0" w:type="dxa"/>
              <w:right w:w="15" w:type="dxa"/>
            </w:tcMar>
            <w:vAlign w:val="bottom"/>
          </w:tcPr>
          <w:p w:rsidR="00D856F2" w:rsidRPr="00A43B98" w:rsidRDefault="00D856F2" w:rsidP="00D856F2">
            <w:pPr>
              <w:jc w:val="right"/>
              <w:rPr>
                <w:rFonts w:ascii="Verdana" w:hAnsi="Verdana"/>
                <w:noProof/>
                <w:sz w:val="16"/>
                <w:szCs w:val="16"/>
              </w:rPr>
            </w:pPr>
            <w:r w:rsidRPr="00A43B98">
              <w:rPr>
                <w:rFonts w:ascii="Verdana" w:hAnsi="Verdana"/>
                <w:noProof/>
                <w:sz w:val="16"/>
                <w:szCs w:val="16"/>
              </w:rPr>
              <w:t>4</w:t>
            </w:r>
            <w:r>
              <w:rPr>
                <w:rFonts w:ascii="Verdana" w:hAnsi="Verdana"/>
                <w:noProof/>
                <w:sz w:val="16"/>
                <w:szCs w:val="16"/>
              </w:rPr>
              <w:t>.</w:t>
            </w:r>
            <w:r w:rsidRPr="00A43B98">
              <w:rPr>
                <w:rFonts w:ascii="Verdana" w:hAnsi="Verdana"/>
                <w:noProof/>
                <w:sz w:val="16"/>
                <w:szCs w:val="16"/>
              </w:rPr>
              <w:t>9%</w:t>
            </w:r>
          </w:p>
        </w:tc>
        <w:tc>
          <w:tcPr>
            <w:tcW w:w="1276" w:type="dxa"/>
            <w:gridSpan w:val="2"/>
            <w:tcBorders>
              <w:top w:val="nil"/>
              <w:left w:val="nil"/>
              <w:bottom w:val="nil"/>
              <w:right w:val="nil"/>
            </w:tcBorders>
            <w:noWrap/>
            <w:tcMar>
              <w:top w:w="0" w:type="dxa"/>
              <w:left w:w="15" w:type="dxa"/>
              <w:bottom w:w="0" w:type="dxa"/>
              <w:right w:w="15" w:type="dxa"/>
            </w:tcMar>
          </w:tcPr>
          <w:p w:rsidR="00D856F2" w:rsidRPr="00F92C4C" w:rsidRDefault="00D856F2" w:rsidP="00D856F2">
            <w:pPr>
              <w:jc w:val="right"/>
              <w:rPr>
                <w:rFonts w:ascii="Verdana" w:hAnsi="Verdana"/>
                <w:noProof/>
                <w:sz w:val="16"/>
                <w:szCs w:val="16"/>
              </w:rPr>
            </w:pPr>
          </w:p>
        </w:tc>
        <w:tc>
          <w:tcPr>
            <w:tcW w:w="283" w:type="dxa"/>
            <w:tcBorders>
              <w:top w:val="nil"/>
              <w:left w:val="nil"/>
              <w:bottom w:val="nil"/>
              <w:right w:val="nil"/>
            </w:tcBorders>
          </w:tcPr>
          <w:p w:rsidR="00D856F2" w:rsidRPr="00353FCF" w:rsidRDefault="00D856F2" w:rsidP="00D856F2">
            <w:pPr>
              <w:jc w:val="right"/>
              <w:rPr>
                <w:rFonts w:ascii="Verdana" w:hAnsi="Verdana"/>
                <w:noProof/>
                <w:sz w:val="16"/>
                <w:szCs w:val="16"/>
                <w:lang w:val="en-GB"/>
              </w:rPr>
            </w:pPr>
          </w:p>
        </w:tc>
      </w:tr>
      <w:tr w:rsidR="00D856F2" w:rsidRPr="00353FCF" w:rsidTr="00D856F2">
        <w:trPr>
          <w:gridAfter w:val="2"/>
          <w:wAfter w:w="1701" w:type="dxa"/>
          <w:trHeight w:val="285"/>
        </w:trPr>
        <w:tc>
          <w:tcPr>
            <w:tcW w:w="3276" w:type="dxa"/>
            <w:gridSpan w:val="2"/>
            <w:tcBorders>
              <w:top w:val="nil"/>
              <w:left w:val="nil"/>
              <w:bottom w:val="nil"/>
              <w:right w:val="nil"/>
            </w:tcBorders>
            <w:noWrap/>
            <w:tcMar>
              <w:top w:w="0" w:type="dxa"/>
              <w:left w:w="15" w:type="dxa"/>
              <w:bottom w:w="0" w:type="dxa"/>
              <w:right w:w="15" w:type="dxa"/>
            </w:tcMar>
            <w:vAlign w:val="bottom"/>
          </w:tcPr>
          <w:p w:rsidR="00D856F2" w:rsidRPr="00353FCF" w:rsidRDefault="00D856F2" w:rsidP="00D856F2">
            <w:pPr>
              <w:jc w:val="both"/>
              <w:rPr>
                <w:rFonts w:ascii="Verdana" w:hAnsi="Verdana"/>
                <w:noProof/>
                <w:sz w:val="16"/>
                <w:szCs w:val="16"/>
                <w:lang w:val="en-GB"/>
              </w:rPr>
            </w:pPr>
            <w:r w:rsidRPr="00353FCF">
              <w:rPr>
                <w:rFonts w:ascii="Verdana" w:hAnsi="Verdana"/>
                <w:noProof/>
                <w:sz w:val="16"/>
                <w:szCs w:val="16"/>
                <w:lang w:val="en-GB"/>
              </w:rPr>
              <w:t>Administrative expenses</w:t>
            </w:r>
          </w:p>
        </w:tc>
        <w:tc>
          <w:tcPr>
            <w:tcW w:w="1807" w:type="dxa"/>
            <w:tcBorders>
              <w:top w:val="nil"/>
              <w:left w:val="nil"/>
              <w:bottom w:val="nil"/>
              <w:right w:val="nil"/>
            </w:tcBorders>
            <w:tcMar>
              <w:top w:w="0" w:type="dxa"/>
              <w:left w:w="15" w:type="dxa"/>
              <w:bottom w:w="0" w:type="dxa"/>
              <w:right w:w="15" w:type="dxa"/>
            </w:tcMar>
            <w:vAlign w:val="bottom"/>
          </w:tcPr>
          <w:p w:rsidR="00D856F2" w:rsidRPr="002B0B04" w:rsidRDefault="00D856F2" w:rsidP="00D856F2">
            <w:pPr>
              <w:jc w:val="right"/>
              <w:rPr>
                <w:rFonts w:ascii="Verdana" w:hAnsi="Verdana"/>
                <w:noProof/>
                <w:sz w:val="16"/>
                <w:szCs w:val="16"/>
              </w:rPr>
            </w:pPr>
            <w:r w:rsidRPr="002B0B04">
              <w:rPr>
                <w:rFonts w:ascii="Verdana" w:hAnsi="Verdana"/>
                <w:noProof/>
                <w:sz w:val="16"/>
                <w:szCs w:val="16"/>
              </w:rPr>
              <w:t>13.8%</w:t>
            </w:r>
          </w:p>
        </w:tc>
        <w:tc>
          <w:tcPr>
            <w:tcW w:w="1453" w:type="dxa"/>
            <w:tcBorders>
              <w:top w:val="nil"/>
              <w:left w:val="nil"/>
              <w:bottom w:val="nil"/>
              <w:right w:val="nil"/>
            </w:tcBorders>
            <w:noWrap/>
            <w:tcMar>
              <w:top w:w="0" w:type="dxa"/>
              <w:left w:w="15" w:type="dxa"/>
              <w:bottom w:w="0" w:type="dxa"/>
              <w:right w:w="15" w:type="dxa"/>
            </w:tcMar>
            <w:vAlign w:val="bottom"/>
          </w:tcPr>
          <w:p w:rsidR="00D856F2" w:rsidRPr="00A43B98" w:rsidRDefault="00D856F2" w:rsidP="00D856F2">
            <w:pPr>
              <w:jc w:val="right"/>
              <w:rPr>
                <w:rFonts w:ascii="Verdana" w:hAnsi="Verdana"/>
                <w:noProof/>
                <w:sz w:val="16"/>
                <w:szCs w:val="16"/>
              </w:rPr>
            </w:pPr>
            <w:r w:rsidRPr="00A43B98">
              <w:rPr>
                <w:rFonts w:ascii="Verdana" w:hAnsi="Verdana"/>
                <w:noProof/>
                <w:sz w:val="16"/>
                <w:szCs w:val="16"/>
              </w:rPr>
              <w:t>9</w:t>
            </w:r>
            <w:r>
              <w:rPr>
                <w:rFonts w:ascii="Verdana" w:hAnsi="Verdana"/>
                <w:noProof/>
                <w:sz w:val="16"/>
                <w:szCs w:val="16"/>
              </w:rPr>
              <w:t>.</w:t>
            </w:r>
            <w:r w:rsidRPr="00A43B98">
              <w:rPr>
                <w:rFonts w:ascii="Verdana" w:hAnsi="Verdana"/>
                <w:noProof/>
                <w:sz w:val="16"/>
                <w:szCs w:val="16"/>
              </w:rPr>
              <w:t>5%</w:t>
            </w:r>
          </w:p>
        </w:tc>
        <w:tc>
          <w:tcPr>
            <w:tcW w:w="1276" w:type="dxa"/>
            <w:gridSpan w:val="2"/>
            <w:tcBorders>
              <w:top w:val="nil"/>
              <w:left w:val="nil"/>
              <w:bottom w:val="nil"/>
              <w:right w:val="nil"/>
            </w:tcBorders>
            <w:noWrap/>
            <w:tcMar>
              <w:top w:w="0" w:type="dxa"/>
              <w:left w:w="15" w:type="dxa"/>
              <w:bottom w:w="0" w:type="dxa"/>
              <w:right w:w="15" w:type="dxa"/>
            </w:tcMar>
          </w:tcPr>
          <w:p w:rsidR="00D856F2" w:rsidRPr="00F92C4C" w:rsidRDefault="00D856F2" w:rsidP="00D856F2">
            <w:pPr>
              <w:jc w:val="right"/>
              <w:rPr>
                <w:rFonts w:ascii="Verdana" w:hAnsi="Verdana"/>
                <w:noProof/>
                <w:sz w:val="16"/>
                <w:szCs w:val="16"/>
              </w:rPr>
            </w:pPr>
          </w:p>
        </w:tc>
        <w:tc>
          <w:tcPr>
            <w:tcW w:w="283" w:type="dxa"/>
            <w:tcBorders>
              <w:top w:val="nil"/>
              <w:left w:val="nil"/>
              <w:bottom w:val="nil"/>
              <w:right w:val="nil"/>
            </w:tcBorders>
          </w:tcPr>
          <w:p w:rsidR="00D856F2" w:rsidRPr="00353FCF" w:rsidRDefault="00D856F2" w:rsidP="00D856F2">
            <w:pPr>
              <w:jc w:val="right"/>
              <w:rPr>
                <w:rFonts w:ascii="Verdana" w:hAnsi="Verdana"/>
                <w:noProof/>
                <w:sz w:val="16"/>
                <w:szCs w:val="16"/>
                <w:lang w:val="en-GB"/>
              </w:rPr>
            </w:pPr>
          </w:p>
        </w:tc>
      </w:tr>
      <w:tr w:rsidR="00D856F2" w:rsidRPr="00353FCF" w:rsidTr="00D856F2">
        <w:trPr>
          <w:gridAfter w:val="2"/>
          <w:wAfter w:w="1701" w:type="dxa"/>
          <w:trHeight w:val="285"/>
        </w:trPr>
        <w:tc>
          <w:tcPr>
            <w:tcW w:w="3276" w:type="dxa"/>
            <w:gridSpan w:val="2"/>
            <w:tcBorders>
              <w:top w:val="nil"/>
              <w:left w:val="nil"/>
              <w:bottom w:val="nil"/>
              <w:right w:val="nil"/>
            </w:tcBorders>
            <w:noWrap/>
            <w:tcMar>
              <w:top w:w="0" w:type="dxa"/>
              <w:left w:w="15" w:type="dxa"/>
              <w:bottom w:w="0" w:type="dxa"/>
              <w:right w:w="15" w:type="dxa"/>
            </w:tcMar>
            <w:vAlign w:val="bottom"/>
          </w:tcPr>
          <w:p w:rsidR="00D856F2" w:rsidRPr="00353FCF" w:rsidRDefault="00D856F2" w:rsidP="00D856F2">
            <w:pPr>
              <w:jc w:val="both"/>
              <w:rPr>
                <w:rFonts w:ascii="Verdana" w:hAnsi="Verdana"/>
                <w:noProof/>
                <w:sz w:val="16"/>
                <w:szCs w:val="16"/>
                <w:lang w:val="en-GB"/>
              </w:rPr>
            </w:pPr>
            <w:r w:rsidRPr="00353FCF">
              <w:rPr>
                <w:rFonts w:ascii="Verdana" w:hAnsi="Verdana"/>
                <w:noProof/>
                <w:sz w:val="16"/>
                <w:szCs w:val="16"/>
                <w:lang w:val="en-GB"/>
              </w:rPr>
              <w:t xml:space="preserve">EBITDA </w:t>
            </w:r>
          </w:p>
        </w:tc>
        <w:tc>
          <w:tcPr>
            <w:tcW w:w="1807" w:type="dxa"/>
            <w:tcBorders>
              <w:top w:val="nil"/>
              <w:left w:val="nil"/>
              <w:bottom w:val="nil"/>
              <w:right w:val="nil"/>
            </w:tcBorders>
            <w:tcMar>
              <w:top w:w="0" w:type="dxa"/>
              <w:left w:w="15" w:type="dxa"/>
              <w:bottom w:w="0" w:type="dxa"/>
              <w:right w:w="15" w:type="dxa"/>
            </w:tcMar>
            <w:vAlign w:val="bottom"/>
          </w:tcPr>
          <w:p w:rsidR="00D856F2" w:rsidRPr="00271032" w:rsidRDefault="00D856F2" w:rsidP="00D856F2">
            <w:pPr>
              <w:jc w:val="right"/>
              <w:rPr>
                <w:rFonts w:ascii="Verdana" w:hAnsi="Verdana"/>
                <w:noProof/>
                <w:sz w:val="16"/>
                <w:szCs w:val="16"/>
              </w:rPr>
            </w:pPr>
            <w:r w:rsidRPr="00271032">
              <w:rPr>
                <w:rFonts w:ascii="Verdana" w:hAnsi="Verdana"/>
                <w:noProof/>
                <w:sz w:val="16"/>
                <w:szCs w:val="16"/>
              </w:rPr>
              <w:t>8</w:t>
            </w:r>
            <w:r>
              <w:rPr>
                <w:rFonts w:ascii="Verdana" w:hAnsi="Verdana"/>
                <w:noProof/>
                <w:sz w:val="16"/>
                <w:szCs w:val="16"/>
              </w:rPr>
              <w:t>.</w:t>
            </w:r>
            <w:r w:rsidRPr="00271032">
              <w:rPr>
                <w:rFonts w:ascii="Verdana" w:hAnsi="Verdana"/>
                <w:noProof/>
                <w:sz w:val="16"/>
                <w:szCs w:val="16"/>
              </w:rPr>
              <w:t>3%</w:t>
            </w:r>
          </w:p>
        </w:tc>
        <w:tc>
          <w:tcPr>
            <w:tcW w:w="1453" w:type="dxa"/>
            <w:tcBorders>
              <w:top w:val="nil"/>
              <w:left w:val="nil"/>
              <w:bottom w:val="nil"/>
              <w:right w:val="nil"/>
            </w:tcBorders>
            <w:noWrap/>
            <w:tcMar>
              <w:top w:w="0" w:type="dxa"/>
              <w:left w:w="15" w:type="dxa"/>
              <w:bottom w:w="0" w:type="dxa"/>
              <w:right w:w="15" w:type="dxa"/>
            </w:tcMar>
            <w:vAlign w:val="bottom"/>
          </w:tcPr>
          <w:p w:rsidR="00D856F2" w:rsidRPr="00A43B98" w:rsidRDefault="00D856F2" w:rsidP="00D856F2">
            <w:pPr>
              <w:jc w:val="right"/>
              <w:rPr>
                <w:rFonts w:ascii="Verdana" w:hAnsi="Verdana"/>
                <w:noProof/>
                <w:sz w:val="16"/>
                <w:szCs w:val="16"/>
              </w:rPr>
            </w:pPr>
            <w:r w:rsidRPr="00A43B98">
              <w:rPr>
                <w:rFonts w:ascii="Verdana" w:hAnsi="Verdana"/>
                <w:noProof/>
                <w:sz w:val="16"/>
                <w:szCs w:val="16"/>
              </w:rPr>
              <w:t>10</w:t>
            </w:r>
            <w:r>
              <w:rPr>
                <w:rFonts w:ascii="Verdana" w:hAnsi="Verdana"/>
                <w:noProof/>
                <w:sz w:val="16"/>
                <w:szCs w:val="16"/>
              </w:rPr>
              <w:t>.</w:t>
            </w:r>
            <w:r w:rsidRPr="00A43B98">
              <w:rPr>
                <w:rFonts w:ascii="Verdana" w:hAnsi="Verdana"/>
                <w:noProof/>
                <w:sz w:val="16"/>
                <w:szCs w:val="16"/>
              </w:rPr>
              <w:t>6%</w:t>
            </w:r>
          </w:p>
        </w:tc>
        <w:tc>
          <w:tcPr>
            <w:tcW w:w="1276" w:type="dxa"/>
            <w:gridSpan w:val="2"/>
            <w:tcBorders>
              <w:top w:val="nil"/>
              <w:left w:val="nil"/>
              <w:bottom w:val="nil"/>
              <w:right w:val="nil"/>
            </w:tcBorders>
            <w:noWrap/>
            <w:tcMar>
              <w:top w:w="0" w:type="dxa"/>
              <w:left w:w="15" w:type="dxa"/>
              <w:bottom w:w="0" w:type="dxa"/>
              <w:right w:w="15" w:type="dxa"/>
            </w:tcMar>
          </w:tcPr>
          <w:p w:rsidR="00D856F2" w:rsidRPr="00F92C4C" w:rsidRDefault="00D856F2" w:rsidP="00D856F2">
            <w:pPr>
              <w:jc w:val="right"/>
              <w:rPr>
                <w:rFonts w:ascii="Verdana" w:hAnsi="Verdana"/>
                <w:noProof/>
                <w:sz w:val="16"/>
                <w:szCs w:val="16"/>
              </w:rPr>
            </w:pPr>
          </w:p>
        </w:tc>
        <w:tc>
          <w:tcPr>
            <w:tcW w:w="283" w:type="dxa"/>
            <w:tcBorders>
              <w:top w:val="nil"/>
              <w:left w:val="nil"/>
              <w:bottom w:val="nil"/>
              <w:right w:val="nil"/>
            </w:tcBorders>
          </w:tcPr>
          <w:p w:rsidR="00D856F2" w:rsidRPr="00353FCF" w:rsidRDefault="00D856F2" w:rsidP="00D856F2">
            <w:pPr>
              <w:jc w:val="right"/>
              <w:rPr>
                <w:rFonts w:ascii="Verdana" w:hAnsi="Verdana"/>
                <w:noProof/>
                <w:sz w:val="16"/>
                <w:szCs w:val="16"/>
                <w:lang w:val="en-GB"/>
              </w:rPr>
            </w:pPr>
          </w:p>
        </w:tc>
      </w:tr>
      <w:tr w:rsidR="00D856F2" w:rsidRPr="00353FCF" w:rsidTr="00D856F2">
        <w:trPr>
          <w:gridAfter w:val="2"/>
          <w:wAfter w:w="1701" w:type="dxa"/>
          <w:trHeight w:val="285"/>
        </w:trPr>
        <w:tc>
          <w:tcPr>
            <w:tcW w:w="3276" w:type="dxa"/>
            <w:gridSpan w:val="2"/>
            <w:tcBorders>
              <w:top w:val="nil"/>
              <w:left w:val="nil"/>
              <w:bottom w:val="nil"/>
              <w:right w:val="nil"/>
            </w:tcBorders>
            <w:noWrap/>
            <w:tcMar>
              <w:top w:w="0" w:type="dxa"/>
              <w:left w:w="15" w:type="dxa"/>
              <w:bottom w:w="0" w:type="dxa"/>
              <w:right w:w="15" w:type="dxa"/>
            </w:tcMar>
            <w:vAlign w:val="bottom"/>
          </w:tcPr>
          <w:p w:rsidR="00D856F2" w:rsidRPr="00353FCF" w:rsidRDefault="00D856F2" w:rsidP="00D856F2">
            <w:pPr>
              <w:jc w:val="both"/>
              <w:rPr>
                <w:rFonts w:ascii="Verdana" w:hAnsi="Verdana"/>
                <w:noProof/>
                <w:sz w:val="16"/>
                <w:szCs w:val="16"/>
                <w:lang w:val="en-GB"/>
              </w:rPr>
            </w:pPr>
            <w:r w:rsidRPr="00353FCF">
              <w:rPr>
                <w:rFonts w:ascii="Verdana" w:hAnsi="Verdana"/>
                <w:noProof/>
                <w:sz w:val="16"/>
                <w:szCs w:val="16"/>
                <w:lang w:val="en-GB"/>
              </w:rPr>
              <w:t xml:space="preserve">EBIT </w:t>
            </w:r>
          </w:p>
        </w:tc>
        <w:tc>
          <w:tcPr>
            <w:tcW w:w="1807" w:type="dxa"/>
            <w:tcBorders>
              <w:top w:val="nil"/>
              <w:left w:val="nil"/>
              <w:bottom w:val="nil"/>
              <w:right w:val="nil"/>
            </w:tcBorders>
            <w:tcMar>
              <w:top w:w="0" w:type="dxa"/>
              <w:left w:w="15" w:type="dxa"/>
              <w:bottom w:w="0" w:type="dxa"/>
              <w:right w:w="15" w:type="dxa"/>
            </w:tcMar>
            <w:vAlign w:val="bottom"/>
          </w:tcPr>
          <w:p w:rsidR="00D856F2" w:rsidRPr="00271032" w:rsidRDefault="00D856F2" w:rsidP="00D856F2">
            <w:pPr>
              <w:jc w:val="right"/>
              <w:rPr>
                <w:rFonts w:ascii="Verdana" w:hAnsi="Verdana"/>
                <w:noProof/>
                <w:sz w:val="16"/>
                <w:szCs w:val="16"/>
              </w:rPr>
            </w:pPr>
            <w:r w:rsidRPr="00271032">
              <w:rPr>
                <w:rFonts w:ascii="Verdana" w:hAnsi="Verdana"/>
                <w:noProof/>
                <w:sz w:val="16"/>
                <w:szCs w:val="16"/>
              </w:rPr>
              <w:t>3</w:t>
            </w:r>
            <w:r>
              <w:rPr>
                <w:rFonts w:ascii="Verdana" w:hAnsi="Verdana"/>
                <w:noProof/>
                <w:sz w:val="16"/>
                <w:szCs w:val="16"/>
              </w:rPr>
              <w:t>.</w:t>
            </w:r>
            <w:r w:rsidRPr="00271032">
              <w:rPr>
                <w:rFonts w:ascii="Verdana" w:hAnsi="Verdana"/>
                <w:noProof/>
                <w:sz w:val="16"/>
                <w:szCs w:val="16"/>
              </w:rPr>
              <w:t>2%</w:t>
            </w:r>
          </w:p>
        </w:tc>
        <w:tc>
          <w:tcPr>
            <w:tcW w:w="1453" w:type="dxa"/>
            <w:tcBorders>
              <w:top w:val="nil"/>
              <w:left w:val="nil"/>
              <w:bottom w:val="nil"/>
              <w:right w:val="nil"/>
            </w:tcBorders>
            <w:noWrap/>
            <w:tcMar>
              <w:top w:w="0" w:type="dxa"/>
              <w:left w:w="15" w:type="dxa"/>
              <w:bottom w:w="0" w:type="dxa"/>
              <w:right w:w="15" w:type="dxa"/>
            </w:tcMar>
            <w:vAlign w:val="bottom"/>
          </w:tcPr>
          <w:p w:rsidR="00D856F2" w:rsidRPr="00A43B98" w:rsidRDefault="00D856F2" w:rsidP="00D856F2">
            <w:pPr>
              <w:jc w:val="right"/>
              <w:rPr>
                <w:rFonts w:ascii="Verdana" w:hAnsi="Verdana"/>
                <w:noProof/>
                <w:sz w:val="16"/>
                <w:szCs w:val="16"/>
              </w:rPr>
            </w:pPr>
            <w:r w:rsidRPr="00A43B98">
              <w:rPr>
                <w:rFonts w:ascii="Verdana" w:hAnsi="Verdana"/>
                <w:noProof/>
                <w:sz w:val="16"/>
                <w:szCs w:val="16"/>
              </w:rPr>
              <w:t>7</w:t>
            </w:r>
            <w:r>
              <w:rPr>
                <w:rFonts w:ascii="Verdana" w:hAnsi="Verdana"/>
                <w:noProof/>
                <w:sz w:val="16"/>
                <w:szCs w:val="16"/>
              </w:rPr>
              <w:t>.</w:t>
            </w:r>
            <w:r w:rsidRPr="00A43B98">
              <w:rPr>
                <w:rFonts w:ascii="Verdana" w:hAnsi="Verdana"/>
                <w:noProof/>
                <w:sz w:val="16"/>
                <w:szCs w:val="16"/>
              </w:rPr>
              <w:t>2%</w:t>
            </w:r>
          </w:p>
        </w:tc>
        <w:tc>
          <w:tcPr>
            <w:tcW w:w="1276" w:type="dxa"/>
            <w:gridSpan w:val="2"/>
            <w:tcBorders>
              <w:top w:val="nil"/>
              <w:left w:val="nil"/>
              <w:bottom w:val="nil"/>
              <w:right w:val="nil"/>
            </w:tcBorders>
            <w:noWrap/>
            <w:tcMar>
              <w:top w:w="0" w:type="dxa"/>
              <w:left w:w="15" w:type="dxa"/>
              <w:bottom w:w="0" w:type="dxa"/>
              <w:right w:w="15" w:type="dxa"/>
            </w:tcMar>
          </w:tcPr>
          <w:p w:rsidR="00D856F2" w:rsidRPr="00F92C4C" w:rsidRDefault="00D856F2" w:rsidP="00D856F2">
            <w:pPr>
              <w:rPr>
                <w:rFonts w:ascii="Verdana" w:hAnsi="Verdana"/>
                <w:noProof/>
                <w:sz w:val="16"/>
                <w:szCs w:val="16"/>
              </w:rPr>
            </w:pPr>
          </w:p>
        </w:tc>
        <w:tc>
          <w:tcPr>
            <w:tcW w:w="283" w:type="dxa"/>
            <w:tcBorders>
              <w:top w:val="nil"/>
              <w:left w:val="nil"/>
              <w:bottom w:val="nil"/>
              <w:right w:val="nil"/>
            </w:tcBorders>
          </w:tcPr>
          <w:p w:rsidR="00D856F2" w:rsidRPr="00353FCF" w:rsidRDefault="00D856F2" w:rsidP="00D856F2">
            <w:pPr>
              <w:rPr>
                <w:rFonts w:ascii="Verdana" w:hAnsi="Verdana"/>
                <w:noProof/>
                <w:sz w:val="16"/>
                <w:szCs w:val="16"/>
                <w:lang w:val="en-GB"/>
              </w:rPr>
            </w:pPr>
          </w:p>
        </w:tc>
      </w:tr>
      <w:tr w:rsidR="00D856F2" w:rsidRPr="00353FCF" w:rsidTr="00D856F2">
        <w:trPr>
          <w:gridAfter w:val="2"/>
          <w:wAfter w:w="1701" w:type="dxa"/>
          <w:trHeight w:val="285"/>
        </w:trPr>
        <w:tc>
          <w:tcPr>
            <w:tcW w:w="3276" w:type="dxa"/>
            <w:gridSpan w:val="2"/>
            <w:tcBorders>
              <w:top w:val="nil"/>
              <w:left w:val="nil"/>
              <w:bottom w:val="nil"/>
              <w:right w:val="nil"/>
            </w:tcBorders>
            <w:noWrap/>
            <w:tcMar>
              <w:top w:w="0" w:type="dxa"/>
              <w:left w:w="15" w:type="dxa"/>
              <w:bottom w:w="0" w:type="dxa"/>
              <w:right w:w="15" w:type="dxa"/>
            </w:tcMar>
            <w:vAlign w:val="bottom"/>
          </w:tcPr>
          <w:p w:rsidR="00D856F2" w:rsidRPr="00353FCF" w:rsidRDefault="00D856F2" w:rsidP="00D856F2">
            <w:pPr>
              <w:jc w:val="both"/>
              <w:rPr>
                <w:rFonts w:ascii="Verdana" w:hAnsi="Verdana"/>
                <w:noProof/>
                <w:sz w:val="16"/>
                <w:szCs w:val="16"/>
                <w:lang w:val="en-GB"/>
              </w:rPr>
            </w:pPr>
            <w:r>
              <w:rPr>
                <w:rFonts w:ascii="Verdana" w:hAnsi="Verdana"/>
                <w:noProof/>
                <w:sz w:val="16"/>
                <w:szCs w:val="16"/>
                <w:lang w:val="en-GB"/>
              </w:rPr>
              <w:t>EBIT excluding cost due to restructuring</w:t>
            </w:r>
          </w:p>
        </w:tc>
        <w:tc>
          <w:tcPr>
            <w:tcW w:w="1807" w:type="dxa"/>
            <w:tcBorders>
              <w:top w:val="nil"/>
              <w:left w:val="nil"/>
              <w:bottom w:val="nil"/>
              <w:right w:val="nil"/>
            </w:tcBorders>
            <w:tcMar>
              <w:top w:w="0" w:type="dxa"/>
              <w:left w:w="15" w:type="dxa"/>
              <w:bottom w:w="0" w:type="dxa"/>
              <w:right w:w="15" w:type="dxa"/>
            </w:tcMar>
            <w:vAlign w:val="bottom"/>
          </w:tcPr>
          <w:p w:rsidR="00D856F2" w:rsidRPr="00726CCE" w:rsidRDefault="00D856F2" w:rsidP="00D856F2">
            <w:pPr>
              <w:jc w:val="right"/>
              <w:rPr>
                <w:rFonts w:ascii="Verdana" w:hAnsi="Verdana"/>
                <w:noProof/>
                <w:sz w:val="16"/>
                <w:szCs w:val="16"/>
                <w:lang w:val="en-GB"/>
              </w:rPr>
            </w:pPr>
            <w:r>
              <w:rPr>
                <w:rFonts w:ascii="Verdana" w:hAnsi="Verdana"/>
                <w:noProof/>
                <w:sz w:val="16"/>
                <w:szCs w:val="16"/>
                <w:lang w:val="en-GB"/>
              </w:rPr>
              <w:t>6.2%</w:t>
            </w:r>
          </w:p>
        </w:tc>
        <w:tc>
          <w:tcPr>
            <w:tcW w:w="1453" w:type="dxa"/>
            <w:tcBorders>
              <w:top w:val="nil"/>
              <w:left w:val="nil"/>
              <w:bottom w:val="nil"/>
              <w:right w:val="nil"/>
            </w:tcBorders>
            <w:noWrap/>
            <w:tcMar>
              <w:top w:w="0" w:type="dxa"/>
              <w:left w:w="15" w:type="dxa"/>
              <w:bottom w:w="0" w:type="dxa"/>
              <w:right w:w="15" w:type="dxa"/>
            </w:tcMar>
            <w:vAlign w:val="bottom"/>
          </w:tcPr>
          <w:p w:rsidR="00D856F2" w:rsidRPr="00A43B98" w:rsidRDefault="00D856F2" w:rsidP="00D856F2">
            <w:pPr>
              <w:jc w:val="right"/>
              <w:rPr>
                <w:rFonts w:ascii="Verdana" w:hAnsi="Verdana"/>
                <w:noProof/>
                <w:sz w:val="16"/>
                <w:szCs w:val="16"/>
              </w:rPr>
            </w:pPr>
            <w:r>
              <w:rPr>
                <w:rFonts w:ascii="Verdana" w:hAnsi="Verdana"/>
                <w:noProof/>
                <w:sz w:val="16"/>
                <w:szCs w:val="16"/>
              </w:rPr>
              <w:t>7.2%</w:t>
            </w:r>
          </w:p>
        </w:tc>
        <w:tc>
          <w:tcPr>
            <w:tcW w:w="1276" w:type="dxa"/>
            <w:gridSpan w:val="2"/>
            <w:tcBorders>
              <w:top w:val="nil"/>
              <w:left w:val="nil"/>
              <w:bottom w:val="nil"/>
              <w:right w:val="nil"/>
            </w:tcBorders>
            <w:noWrap/>
            <w:tcMar>
              <w:top w:w="0" w:type="dxa"/>
              <w:left w:w="15" w:type="dxa"/>
              <w:bottom w:w="0" w:type="dxa"/>
              <w:right w:w="15" w:type="dxa"/>
            </w:tcMar>
          </w:tcPr>
          <w:p w:rsidR="00D856F2" w:rsidRPr="00F92C4C" w:rsidRDefault="00D856F2" w:rsidP="00D856F2">
            <w:pPr>
              <w:rPr>
                <w:rFonts w:ascii="Verdana" w:hAnsi="Verdana"/>
                <w:noProof/>
                <w:sz w:val="16"/>
                <w:szCs w:val="16"/>
              </w:rPr>
            </w:pPr>
          </w:p>
        </w:tc>
        <w:tc>
          <w:tcPr>
            <w:tcW w:w="283" w:type="dxa"/>
            <w:tcBorders>
              <w:top w:val="nil"/>
              <w:left w:val="nil"/>
              <w:bottom w:val="nil"/>
              <w:right w:val="nil"/>
            </w:tcBorders>
          </w:tcPr>
          <w:p w:rsidR="00D856F2" w:rsidRPr="00353FCF" w:rsidRDefault="00D856F2" w:rsidP="00D856F2">
            <w:pPr>
              <w:rPr>
                <w:rFonts w:ascii="Verdana" w:hAnsi="Verdana"/>
                <w:noProof/>
                <w:sz w:val="16"/>
                <w:szCs w:val="16"/>
                <w:lang w:val="en-GB"/>
              </w:rPr>
            </w:pPr>
          </w:p>
        </w:tc>
      </w:tr>
      <w:tr w:rsidR="00D856F2" w:rsidRPr="00353FCF" w:rsidTr="00D856F2">
        <w:trPr>
          <w:gridAfter w:val="2"/>
          <w:wAfter w:w="1701" w:type="dxa"/>
          <w:trHeight w:val="285"/>
        </w:trPr>
        <w:tc>
          <w:tcPr>
            <w:tcW w:w="3276" w:type="dxa"/>
            <w:gridSpan w:val="2"/>
            <w:tcBorders>
              <w:top w:val="nil"/>
              <w:left w:val="nil"/>
              <w:bottom w:val="nil"/>
              <w:right w:val="nil"/>
            </w:tcBorders>
            <w:noWrap/>
            <w:tcMar>
              <w:top w:w="15" w:type="dxa"/>
              <w:left w:w="15" w:type="dxa"/>
              <w:bottom w:w="0" w:type="dxa"/>
              <w:right w:w="15" w:type="dxa"/>
            </w:tcMar>
            <w:vAlign w:val="bottom"/>
          </w:tcPr>
          <w:p w:rsidR="00D856F2" w:rsidRPr="00353FCF" w:rsidRDefault="00D856F2" w:rsidP="00D856F2">
            <w:pPr>
              <w:jc w:val="both"/>
              <w:rPr>
                <w:rFonts w:ascii="Verdana" w:hAnsi="Verdana"/>
                <w:noProof/>
                <w:sz w:val="14"/>
                <w:szCs w:val="14"/>
                <w:highlight w:val="yellow"/>
                <w:lang w:val="en-GB"/>
              </w:rPr>
            </w:pPr>
          </w:p>
        </w:tc>
        <w:tc>
          <w:tcPr>
            <w:tcW w:w="1807" w:type="dxa"/>
            <w:tcBorders>
              <w:top w:val="nil"/>
              <w:left w:val="nil"/>
              <w:bottom w:val="nil"/>
              <w:right w:val="nil"/>
            </w:tcBorders>
            <w:tcMar>
              <w:top w:w="15" w:type="dxa"/>
              <w:left w:w="15" w:type="dxa"/>
              <w:bottom w:w="0" w:type="dxa"/>
              <w:right w:w="15" w:type="dxa"/>
            </w:tcMar>
          </w:tcPr>
          <w:p w:rsidR="00D856F2" w:rsidRPr="00353FCF" w:rsidRDefault="00D856F2" w:rsidP="00D856F2">
            <w:pPr>
              <w:jc w:val="right"/>
              <w:rPr>
                <w:rFonts w:ascii="Verdana" w:hAnsi="Verdana"/>
                <w:noProof/>
                <w:sz w:val="16"/>
                <w:szCs w:val="16"/>
                <w:highlight w:val="yellow"/>
                <w:lang w:val="en-GB"/>
              </w:rPr>
            </w:pPr>
          </w:p>
        </w:tc>
        <w:tc>
          <w:tcPr>
            <w:tcW w:w="1453" w:type="dxa"/>
            <w:tcBorders>
              <w:top w:val="nil"/>
              <w:left w:val="nil"/>
              <w:bottom w:val="nil"/>
              <w:right w:val="nil"/>
            </w:tcBorders>
            <w:noWrap/>
            <w:tcMar>
              <w:top w:w="15" w:type="dxa"/>
              <w:left w:w="15" w:type="dxa"/>
              <w:bottom w:w="0" w:type="dxa"/>
              <w:right w:w="15" w:type="dxa"/>
            </w:tcMar>
            <w:vAlign w:val="bottom"/>
          </w:tcPr>
          <w:p w:rsidR="00D856F2" w:rsidRPr="00353FCF" w:rsidRDefault="00D856F2" w:rsidP="00D856F2">
            <w:pPr>
              <w:jc w:val="right"/>
              <w:rPr>
                <w:rFonts w:ascii="Verdana" w:hAnsi="Verdana"/>
                <w:noProof/>
                <w:sz w:val="16"/>
                <w:szCs w:val="16"/>
                <w:highlight w:val="yellow"/>
                <w:lang w:val="en-GB"/>
              </w:rPr>
            </w:pPr>
          </w:p>
        </w:tc>
        <w:tc>
          <w:tcPr>
            <w:tcW w:w="1276" w:type="dxa"/>
            <w:gridSpan w:val="2"/>
            <w:tcBorders>
              <w:top w:val="nil"/>
              <w:left w:val="nil"/>
              <w:bottom w:val="nil"/>
              <w:right w:val="nil"/>
            </w:tcBorders>
            <w:noWrap/>
            <w:tcMar>
              <w:top w:w="15" w:type="dxa"/>
              <w:left w:w="15" w:type="dxa"/>
              <w:bottom w:w="0" w:type="dxa"/>
              <w:right w:w="15" w:type="dxa"/>
            </w:tcMar>
            <w:vAlign w:val="bottom"/>
          </w:tcPr>
          <w:p w:rsidR="00D856F2" w:rsidRPr="00353FCF" w:rsidRDefault="00D856F2" w:rsidP="00D856F2">
            <w:pPr>
              <w:jc w:val="right"/>
              <w:rPr>
                <w:rFonts w:ascii="Verdana" w:hAnsi="Verdana"/>
                <w:noProof/>
                <w:sz w:val="16"/>
                <w:szCs w:val="16"/>
                <w:highlight w:val="yellow"/>
                <w:lang w:val="en-GB"/>
              </w:rPr>
            </w:pPr>
          </w:p>
        </w:tc>
        <w:tc>
          <w:tcPr>
            <w:tcW w:w="283" w:type="dxa"/>
            <w:tcBorders>
              <w:top w:val="nil"/>
              <w:left w:val="nil"/>
              <w:bottom w:val="nil"/>
              <w:right w:val="nil"/>
            </w:tcBorders>
          </w:tcPr>
          <w:p w:rsidR="00D856F2" w:rsidRPr="00353FCF" w:rsidRDefault="00D856F2" w:rsidP="00D856F2">
            <w:pPr>
              <w:jc w:val="right"/>
              <w:rPr>
                <w:rFonts w:ascii="Verdana" w:hAnsi="Verdana"/>
                <w:noProof/>
                <w:sz w:val="16"/>
                <w:szCs w:val="16"/>
                <w:highlight w:val="yellow"/>
                <w:lang w:val="en-GB"/>
              </w:rPr>
            </w:pPr>
          </w:p>
        </w:tc>
      </w:tr>
      <w:tr w:rsidR="00D856F2" w:rsidRPr="00353FCF" w:rsidTr="00D856F2">
        <w:trPr>
          <w:gridAfter w:val="2"/>
          <w:wAfter w:w="1701" w:type="dxa"/>
          <w:trHeight w:val="59"/>
        </w:trPr>
        <w:tc>
          <w:tcPr>
            <w:tcW w:w="3276" w:type="dxa"/>
            <w:gridSpan w:val="2"/>
            <w:tcBorders>
              <w:top w:val="nil"/>
              <w:left w:val="nil"/>
              <w:bottom w:val="nil"/>
              <w:right w:val="nil"/>
            </w:tcBorders>
            <w:noWrap/>
            <w:tcMar>
              <w:top w:w="15" w:type="dxa"/>
              <w:left w:w="15" w:type="dxa"/>
              <w:bottom w:w="0" w:type="dxa"/>
              <w:right w:w="15" w:type="dxa"/>
            </w:tcMar>
            <w:vAlign w:val="bottom"/>
          </w:tcPr>
          <w:p w:rsidR="00D856F2" w:rsidRPr="00353FCF" w:rsidRDefault="00D856F2" w:rsidP="00D856F2">
            <w:pPr>
              <w:jc w:val="both"/>
              <w:rPr>
                <w:rFonts w:ascii="Verdana" w:hAnsi="Verdana"/>
                <w:noProof/>
                <w:sz w:val="16"/>
                <w:szCs w:val="16"/>
                <w:highlight w:val="yellow"/>
                <w:lang w:val="en-GB"/>
              </w:rPr>
            </w:pPr>
          </w:p>
        </w:tc>
        <w:tc>
          <w:tcPr>
            <w:tcW w:w="1807" w:type="dxa"/>
            <w:tcBorders>
              <w:top w:val="nil"/>
              <w:left w:val="nil"/>
              <w:bottom w:val="nil"/>
              <w:right w:val="nil"/>
            </w:tcBorders>
            <w:tcMar>
              <w:top w:w="15" w:type="dxa"/>
              <w:left w:w="15" w:type="dxa"/>
              <w:bottom w:w="0" w:type="dxa"/>
              <w:right w:w="15" w:type="dxa"/>
            </w:tcMar>
          </w:tcPr>
          <w:p w:rsidR="00D856F2" w:rsidRPr="00353FCF" w:rsidRDefault="00D856F2" w:rsidP="00D856F2">
            <w:pPr>
              <w:jc w:val="right"/>
              <w:rPr>
                <w:rFonts w:ascii="Verdana" w:hAnsi="Verdana"/>
                <w:noProof/>
                <w:sz w:val="16"/>
                <w:szCs w:val="16"/>
                <w:highlight w:val="yellow"/>
                <w:lang w:val="en-GB"/>
              </w:rPr>
            </w:pPr>
          </w:p>
        </w:tc>
        <w:tc>
          <w:tcPr>
            <w:tcW w:w="1453" w:type="dxa"/>
            <w:tcBorders>
              <w:top w:val="nil"/>
              <w:left w:val="nil"/>
              <w:bottom w:val="nil"/>
              <w:right w:val="nil"/>
            </w:tcBorders>
            <w:noWrap/>
            <w:tcMar>
              <w:top w:w="15" w:type="dxa"/>
              <w:left w:w="15" w:type="dxa"/>
              <w:bottom w:w="0" w:type="dxa"/>
              <w:right w:w="15" w:type="dxa"/>
            </w:tcMar>
            <w:vAlign w:val="bottom"/>
          </w:tcPr>
          <w:p w:rsidR="00D856F2" w:rsidRPr="00353FCF" w:rsidRDefault="00D856F2" w:rsidP="00D856F2">
            <w:pPr>
              <w:jc w:val="right"/>
              <w:rPr>
                <w:rFonts w:ascii="Verdana" w:hAnsi="Verdana"/>
                <w:noProof/>
                <w:sz w:val="16"/>
                <w:szCs w:val="16"/>
                <w:highlight w:val="yellow"/>
                <w:lang w:val="en-GB"/>
              </w:rPr>
            </w:pPr>
          </w:p>
        </w:tc>
        <w:tc>
          <w:tcPr>
            <w:tcW w:w="1276" w:type="dxa"/>
            <w:gridSpan w:val="2"/>
            <w:tcBorders>
              <w:top w:val="nil"/>
              <w:left w:val="nil"/>
              <w:bottom w:val="nil"/>
              <w:right w:val="nil"/>
            </w:tcBorders>
            <w:noWrap/>
            <w:tcMar>
              <w:top w:w="15" w:type="dxa"/>
              <w:left w:w="15" w:type="dxa"/>
              <w:bottom w:w="0" w:type="dxa"/>
              <w:right w:w="15" w:type="dxa"/>
            </w:tcMar>
            <w:vAlign w:val="bottom"/>
          </w:tcPr>
          <w:p w:rsidR="00D856F2" w:rsidRPr="00353FCF" w:rsidRDefault="00D856F2" w:rsidP="00D856F2">
            <w:pPr>
              <w:jc w:val="right"/>
              <w:rPr>
                <w:rFonts w:ascii="Verdana" w:hAnsi="Verdana"/>
                <w:noProof/>
                <w:sz w:val="16"/>
                <w:szCs w:val="16"/>
                <w:highlight w:val="yellow"/>
                <w:lang w:val="en-GB"/>
              </w:rPr>
            </w:pPr>
          </w:p>
        </w:tc>
        <w:tc>
          <w:tcPr>
            <w:tcW w:w="283" w:type="dxa"/>
            <w:tcBorders>
              <w:top w:val="nil"/>
              <w:left w:val="nil"/>
              <w:bottom w:val="nil"/>
              <w:right w:val="nil"/>
            </w:tcBorders>
          </w:tcPr>
          <w:p w:rsidR="00D856F2" w:rsidRPr="00353FCF" w:rsidRDefault="00D856F2" w:rsidP="00D856F2">
            <w:pPr>
              <w:jc w:val="right"/>
              <w:rPr>
                <w:rFonts w:ascii="Verdana" w:hAnsi="Verdana"/>
                <w:noProof/>
                <w:sz w:val="16"/>
                <w:szCs w:val="16"/>
                <w:highlight w:val="yellow"/>
                <w:lang w:val="en-GB"/>
              </w:rPr>
            </w:pPr>
          </w:p>
        </w:tc>
      </w:tr>
    </w:tbl>
    <w:p w:rsidR="008C342C" w:rsidRPr="00353FCF" w:rsidRDefault="008C342C" w:rsidP="008C342C">
      <w:pPr>
        <w:autoSpaceDE w:val="0"/>
        <w:autoSpaceDN w:val="0"/>
        <w:adjustRightInd w:val="0"/>
        <w:rPr>
          <w:rFonts w:ascii="Verdana" w:hAnsi="Verdana" w:cs="Verdana"/>
          <w:b/>
          <w:bCs/>
          <w:color w:val="000000"/>
          <w:sz w:val="22"/>
          <w:szCs w:val="22"/>
          <w:lang w:val="en-GB"/>
        </w:rPr>
      </w:pPr>
      <w:r w:rsidRPr="00353FCF">
        <w:rPr>
          <w:rFonts w:ascii="Verdana" w:hAnsi="Verdana" w:cs="Verdana"/>
          <w:b/>
          <w:bCs/>
          <w:color w:val="000000"/>
          <w:sz w:val="22"/>
          <w:szCs w:val="22"/>
          <w:lang w:val="en-GB"/>
        </w:rPr>
        <w:t>Key events during the period</w:t>
      </w:r>
    </w:p>
    <w:p w:rsidR="008C342C" w:rsidRPr="00353FCF" w:rsidRDefault="008C342C" w:rsidP="008C342C">
      <w:pPr>
        <w:autoSpaceDE w:val="0"/>
        <w:autoSpaceDN w:val="0"/>
        <w:adjustRightInd w:val="0"/>
        <w:rPr>
          <w:rFonts w:ascii="Verdana" w:hAnsi="Verdana"/>
          <w:sz w:val="16"/>
          <w:szCs w:val="16"/>
          <w:lang w:val="en-GB"/>
        </w:rPr>
      </w:pPr>
    </w:p>
    <w:p w:rsidR="00A33D0A" w:rsidRPr="00353FCF" w:rsidRDefault="00A33D0A" w:rsidP="00A41103">
      <w:pPr>
        <w:autoSpaceDE w:val="0"/>
        <w:autoSpaceDN w:val="0"/>
        <w:adjustRightInd w:val="0"/>
        <w:jc w:val="both"/>
        <w:rPr>
          <w:rFonts w:ascii="Verdana" w:hAnsi="Verdana"/>
          <w:b/>
          <w:sz w:val="16"/>
          <w:szCs w:val="16"/>
          <w:lang w:val="en-GB"/>
        </w:rPr>
      </w:pPr>
      <w:r w:rsidRPr="00353FCF">
        <w:rPr>
          <w:rFonts w:ascii="Verdana" w:hAnsi="Verdana"/>
          <w:b/>
          <w:sz w:val="16"/>
          <w:szCs w:val="16"/>
          <w:lang w:val="en-GB"/>
        </w:rPr>
        <w:t>Integration activities</w:t>
      </w:r>
    </w:p>
    <w:p w:rsidR="00A33D0A" w:rsidRPr="00353FCF" w:rsidRDefault="00A33D0A" w:rsidP="00A41103">
      <w:pPr>
        <w:autoSpaceDE w:val="0"/>
        <w:autoSpaceDN w:val="0"/>
        <w:adjustRightInd w:val="0"/>
        <w:jc w:val="both"/>
        <w:rPr>
          <w:rFonts w:ascii="Verdana" w:hAnsi="Verdana" w:cs="Verdana"/>
          <w:sz w:val="16"/>
          <w:szCs w:val="16"/>
          <w:lang w:val="en-GB"/>
        </w:rPr>
      </w:pPr>
      <w:r w:rsidRPr="00353FCF">
        <w:rPr>
          <w:rFonts w:ascii="Verdana" w:hAnsi="Verdana" w:cs="Verdana"/>
          <w:sz w:val="16"/>
          <w:szCs w:val="16"/>
          <w:lang w:val="en-GB"/>
        </w:rPr>
        <w:t>Following a period of rapid external growth in the preceding two to three years, the main emphasis in 2008 has been on internal growth and increase profitability. In the fourth quarter, work continued on the integration of the compan</w:t>
      </w:r>
      <w:r w:rsidR="0040025C">
        <w:rPr>
          <w:rFonts w:ascii="Verdana" w:hAnsi="Verdana" w:cs="Verdana"/>
          <w:sz w:val="16"/>
          <w:szCs w:val="16"/>
          <w:lang w:val="en-GB"/>
        </w:rPr>
        <w:t>y’s</w:t>
      </w:r>
      <w:r w:rsidRPr="00353FCF">
        <w:rPr>
          <w:rFonts w:ascii="Verdana" w:hAnsi="Verdana" w:cs="Verdana"/>
          <w:sz w:val="16"/>
          <w:szCs w:val="16"/>
          <w:lang w:val="en-GB"/>
        </w:rPr>
        <w:t xml:space="preserve"> sales networks and product lines, as well as various business processes, in order to reduce fixed costs and increase economies of scale. </w:t>
      </w:r>
      <w:r w:rsidR="00127EBD" w:rsidRPr="00353FCF">
        <w:rPr>
          <w:rFonts w:ascii="Verdana" w:hAnsi="Verdana" w:cs="Verdana"/>
          <w:sz w:val="16"/>
          <w:szCs w:val="16"/>
          <w:lang w:val="en-GB"/>
        </w:rPr>
        <w:t xml:space="preserve">Among other things, this enabled the company to reduce the number of employees </w:t>
      </w:r>
      <w:r w:rsidR="00E437FD">
        <w:rPr>
          <w:rFonts w:ascii="Verdana" w:hAnsi="Verdana" w:cs="Verdana"/>
          <w:sz w:val="16"/>
          <w:szCs w:val="16"/>
          <w:lang w:val="en-GB"/>
        </w:rPr>
        <w:t xml:space="preserve">at Marel Food System companies outside Iceland </w:t>
      </w:r>
      <w:r w:rsidR="00127EBD" w:rsidRPr="00353FCF">
        <w:rPr>
          <w:rFonts w:ascii="Verdana" w:hAnsi="Verdana" w:cs="Verdana"/>
          <w:sz w:val="16"/>
          <w:szCs w:val="16"/>
          <w:lang w:val="en-GB"/>
        </w:rPr>
        <w:t>by 300 at year end.</w:t>
      </w:r>
    </w:p>
    <w:p w:rsidR="00A33D0A" w:rsidRPr="00353FCF" w:rsidRDefault="00A33D0A" w:rsidP="00A41103">
      <w:pPr>
        <w:autoSpaceDE w:val="0"/>
        <w:autoSpaceDN w:val="0"/>
        <w:adjustRightInd w:val="0"/>
        <w:jc w:val="both"/>
        <w:rPr>
          <w:rFonts w:ascii="Verdana" w:hAnsi="Verdana" w:cs="Verdana"/>
          <w:sz w:val="16"/>
          <w:szCs w:val="16"/>
          <w:lang w:val="en-GB"/>
        </w:rPr>
      </w:pPr>
    </w:p>
    <w:p w:rsidR="00A33D0A" w:rsidRPr="00353FCF" w:rsidRDefault="00A33D0A" w:rsidP="00A41103">
      <w:pPr>
        <w:autoSpaceDE w:val="0"/>
        <w:autoSpaceDN w:val="0"/>
        <w:adjustRightInd w:val="0"/>
        <w:jc w:val="both"/>
        <w:rPr>
          <w:rFonts w:ascii="Verdana" w:hAnsi="Verdana" w:cs="Verdana"/>
          <w:bCs/>
          <w:color w:val="000000"/>
          <w:sz w:val="16"/>
          <w:szCs w:val="16"/>
          <w:lang w:val="en-GB"/>
        </w:rPr>
      </w:pPr>
      <w:r w:rsidRPr="00353FCF">
        <w:rPr>
          <w:rFonts w:ascii="Verdana" w:hAnsi="Verdana" w:cs="Verdana"/>
          <w:bCs/>
          <w:color w:val="000000"/>
          <w:sz w:val="16"/>
          <w:szCs w:val="16"/>
          <w:lang w:val="en-GB"/>
        </w:rPr>
        <w:t>In the first quarter of next year, Marel, AEW Delford and Carnitech will be merged under the name of Marel Food Systems. This will further increase efficiency, as well as strengthen the company‘s image. All the names will continue to be used as brand names in connection with the marketing of individual product categories.</w:t>
      </w:r>
    </w:p>
    <w:p w:rsidR="00A33D0A" w:rsidRPr="00353FCF" w:rsidRDefault="00A33D0A" w:rsidP="00A41103">
      <w:pPr>
        <w:autoSpaceDE w:val="0"/>
        <w:autoSpaceDN w:val="0"/>
        <w:adjustRightInd w:val="0"/>
        <w:jc w:val="both"/>
        <w:rPr>
          <w:rFonts w:ascii="Verdana" w:hAnsi="Verdana" w:cs="Verdana"/>
          <w:bCs/>
          <w:color w:val="000000"/>
          <w:sz w:val="16"/>
          <w:szCs w:val="16"/>
          <w:lang w:val="en-GB"/>
        </w:rPr>
      </w:pPr>
    </w:p>
    <w:p w:rsidR="00A33D0A" w:rsidRPr="00353FCF" w:rsidRDefault="00A33D0A" w:rsidP="00A41103">
      <w:pPr>
        <w:autoSpaceDE w:val="0"/>
        <w:autoSpaceDN w:val="0"/>
        <w:adjustRightInd w:val="0"/>
        <w:jc w:val="both"/>
        <w:rPr>
          <w:rFonts w:ascii="Verdana" w:hAnsi="Verdana" w:cs="Verdana"/>
          <w:sz w:val="16"/>
          <w:szCs w:val="16"/>
          <w:lang w:val="en-GB"/>
        </w:rPr>
      </w:pPr>
      <w:r w:rsidRPr="00353FCF">
        <w:rPr>
          <w:rFonts w:ascii="Verdana" w:hAnsi="Verdana" w:cs="Verdana"/>
          <w:sz w:val="16"/>
          <w:szCs w:val="16"/>
          <w:lang w:val="en-GB"/>
        </w:rPr>
        <w:t>The integration of Marel Food Systems and Stork Food Systems, which began in the second quarter, continues. The focus is on achieving synergies through the integration of financial procedures, information systems, procurement, production and marketing activities.</w:t>
      </w:r>
    </w:p>
    <w:p w:rsidR="00C8268C" w:rsidRPr="00353FCF" w:rsidRDefault="00C8268C" w:rsidP="00A41103">
      <w:pPr>
        <w:autoSpaceDE w:val="0"/>
        <w:autoSpaceDN w:val="0"/>
        <w:adjustRightInd w:val="0"/>
        <w:jc w:val="both"/>
        <w:rPr>
          <w:rFonts w:ascii="Verdana" w:hAnsi="Verdana"/>
          <w:b/>
          <w:sz w:val="16"/>
          <w:szCs w:val="16"/>
          <w:lang w:val="en-GB"/>
        </w:rPr>
      </w:pPr>
    </w:p>
    <w:p w:rsidR="00A33D0A" w:rsidRPr="00353FCF" w:rsidRDefault="00A33D0A" w:rsidP="00A41103">
      <w:pPr>
        <w:autoSpaceDE w:val="0"/>
        <w:autoSpaceDN w:val="0"/>
        <w:adjustRightInd w:val="0"/>
        <w:jc w:val="both"/>
        <w:rPr>
          <w:rFonts w:ascii="Verdana" w:hAnsi="Verdana"/>
          <w:b/>
          <w:sz w:val="16"/>
          <w:szCs w:val="16"/>
          <w:lang w:val="en-GB"/>
        </w:rPr>
      </w:pPr>
      <w:r w:rsidRPr="00353FCF">
        <w:rPr>
          <w:rFonts w:ascii="Verdana" w:hAnsi="Verdana"/>
          <w:b/>
          <w:sz w:val="16"/>
          <w:szCs w:val="16"/>
          <w:lang w:val="en-GB"/>
        </w:rPr>
        <w:t>Private placement</w:t>
      </w:r>
    </w:p>
    <w:p w:rsidR="00A33D0A" w:rsidRPr="00353FCF" w:rsidRDefault="00A33D0A" w:rsidP="00A41103">
      <w:pPr>
        <w:jc w:val="both"/>
        <w:rPr>
          <w:rFonts w:ascii="Verdana" w:hAnsi="Verdana"/>
          <w:sz w:val="16"/>
          <w:szCs w:val="16"/>
          <w:lang w:val="en-GB"/>
        </w:rPr>
      </w:pPr>
      <w:r w:rsidRPr="00353FCF">
        <w:rPr>
          <w:rFonts w:ascii="Verdana" w:hAnsi="Verdana"/>
          <w:sz w:val="16"/>
          <w:szCs w:val="16"/>
          <w:lang w:val="en-GB"/>
        </w:rPr>
        <w:t>In view of the turbulence in the financial markets, Marel Food Systems decided to issue new shares in the company in a private placement, which was successfully completed on 16 October 2008. The purpose of the share offering was to further strengthen the Company's finances and to increase free float of its shares.</w:t>
      </w:r>
    </w:p>
    <w:p w:rsidR="00BE39E3" w:rsidRPr="00353FCF" w:rsidRDefault="00A33D0A" w:rsidP="00A41103">
      <w:pPr>
        <w:autoSpaceDE w:val="0"/>
        <w:autoSpaceDN w:val="0"/>
        <w:adjustRightInd w:val="0"/>
        <w:jc w:val="both"/>
        <w:rPr>
          <w:rFonts w:ascii="Verdana" w:hAnsi="Verdana" w:cs="Verdana"/>
          <w:b/>
          <w:bCs/>
          <w:color w:val="000000"/>
          <w:sz w:val="22"/>
          <w:szCs w:val="22"/>
          <w:lang w:val="en-GB"/>
        </w:rPr>
      </w:pPr>
      <w:r w:rsidRPr="00353FCF">
        <w:rPr>
          <w:rFonts w:ascii="Verdana" w:hAnsi="Verdana"/>
          <w:sz w:val="16"/>
          <w:szCs w:val="16"/>
          <w:lang w:val="en-GB"/>
        </w:rPr>
        <w:t>Subscriptions for shares amounted to ISK 20,074,615 nominal value at 70 ISK per share, equivalent to ISK 1,405,223,050 (approximately EUR 10 million). The Board of Directors decided to accept all subscriptions for shares, the vast majority of which were from pension funds.</w:t>
      </w:r>
    </w:p>
    <w:p w:rsidR="00A33D0A" w:rsidRPr="00353FCF" w:rsidRDefault="00A33D0A" w:rsidP="00A41103">
      <w:pPr>
        <w:autoSpaceDE w:val="0"/>
        <w:autoSpaceDN w:val="0"/>
        <w:adjustRightInd w:val="0"/>
        <w:jc w:val="both"/>
        <w:rPr>
          <w:rFonts w:ascii="Verdana" w:hAnsi="Verdana" w:cs="Verdana"/>
          <w:b/>
          <w:bCs/>
          <w:color w:val="000000"/>
          <w:sz w:val="22"/>
          <w:szCs w:val="22"/>
          <w:lang w:val="en-GB"/>
        </w:rPr>
      </w:pPr>
    </w:p>
    <w:p w:rsidR="008C2F72" w:rsidRPr="00353FCF" w:rsidRDefault="008C2F72" w:rsidP="00F0201A">
      <w:pPr>
        <w:autoSpaceDE w:val="0"/>
        <w:autoSpaceDN w:val="0"/>
        <w:adjustRightInd w:val="0"/>
        <w:rPr>
          <w:rFonts w:ascii="Verdana" w:hAnsi="Verdana" w:cs="Verdana"/>
          <w:b/>
          <w:bCs/>
          <w:color w:val="000000"/>
          <w:sz w:val="22"/>
          <w:szCs w:val="22"/>
          <w:lang w:val="en-GB"/>
        </w:rPr>
      </w:pPr>
    </w:p>
    <w:p w:rsidR="00BE39E3" w:rsidRPr="00353FCF" w:rsidRDefault="00BE39E3" w:rsidP="00F0201A">
      <w:pPr>
        <w:autoSpaceDE w:val="0"/>
        <w:autoSpaceDN w:val="0"/>
        <w:adjustRightInd w:val="0"/>
        <w:rPr>
          <w:rFonts w:ascii="Verdana" w:hAnsi="Verdana" w:cs="Verdana"/>
          <w:b/>
          <w:bCs/>
          <w:color w:val="000000"/>
          <w:sz w:val="22"/>
          <w:szCs w:val="22"/>
          <w:lang w:val="en-GB"/>
        </w:rPr>
      </w:pPr>
      <w:r w:rsidRPr="00353FCF">
        <w:rPr>
          <w:rFonts w:ascii="Verdana" w:hAnsi="Verdana" w:cs="Verdana"/>
          <w:b/>
          <w:bCs/>
          <w:color w:val="000000"/>
          <w:sz w:val="22"/>
          <w:szCs w:val="22"/>
          <w:lang w:val="en-GB"/>
        </w:rPr>
        <w:t xml:space="preserve">5 </w:t>
      </w:r>
      <w:r w:rsidR="008C342C" w:rsidRPr="00353FCF">
        <w:rPr>
          <w:rFonts w:ascii="Verdana" w:hAnsi="Verdana" w:cs="Verdana"/>
          <w:b/>
          <w:bCs/>
          <w:color w:val="000000"/>
          <w:sz w:val="22"/>
          <w:szCs w:val="22"/>
          <w:lang w:val="en-GB"/>
        </w:rPr>
        <w:t>year comparison</w:t>
      </w:r>
    </w:p>
    <w:p w:rsidR="00BE39E3" w:rsidRPr="00353FCF" w:rsidRDefault="00BE39E3" w:rsidP="00DB04EA">
      <w:pPr>
        <w:autoSpaceDE w:val="0"/>
        <w:autoSpaceDN w:val="0"/>
        <w:adjustRightInd w:val="0"/>
        <w:rPr>
          <w:rFonts w:ascii="Verdana" w:hAnsi="Verdana" w:cs="Verdana"/>
          <w:b/>
          <w:bCs/>
          <w:color w:val="000000"/>
          <w:sz w:val="23"/>
          <w:szCs w:val="23"/>
          <w:lang w:val="en-GB"/>
        </w:rPr>
      </w:pPr>
    </w:p>
    <w:tbl>
      <w:tblPr>
        <w:tblW w:w="7812" w:type="dxa"/>
        <w:tblLayout w:type="fixed"/>
        <w:tblLook w:val="0000"/>
      </w:tblPr>
      <w:tblGrid>
        <w:gridCol w:w="2709"/>
        <w:gridCol w:w="1134"/>
        <w:gridCol w:w="992"/>
        <w:gridCol w:w="992"/>
        <w:gridCol w:w="992"/>
        <w:gridCol w:w="993"/>
      </w:tblGrid>
      <w:tr w:rsidR="00DD53AC" w:rsidRPr="00353FCF" w:rsidTr="00DD53AC">
        <w:trPr>
          <w:trHeight w:val="360"/>
        </w:trPr>
        <w:tc>
          <w:tcPr>
            <w:tcW w:w="7812" w:type="dxa"/>
            <w:gridSpan w:val="6"/>
            <w:tcBorders>
              <w:top w:val="nil"/>
              <w:left w:val="nil"/>
              <w:right w:val="nil"/>
            </w:tcBorders>
            <w:shd w:val="clear" w:color="auto" w:fill="003366"/>
            <w:noWrap/>
            <w:tcMar>
              <w:top w:w="0" w:type="dxa"/>
              <w:left w:w="15" w:type="dxa"/>
              <w:bottom w:w="0" w:type="dxa"/>
              <w:right w:w="15" w:type="dxa"/>
            </w:tcMar>
            <w:vAlign w:val="bottom"/>
          </w:tcPr>
          <w:p w:rsidR="00DD53AC" w:rsidRPr="00353FCF" w:rsidRDefault="008C342C" w:rsidP="008C342C">
            <w:pPr>
              <w:tabs>
                <w:tab w:val="left" w:pos="5245"/>
              </w:tabs>
              <w:ind w:right="934"/>
              <w:rPr>
                <w:rFonts w:ascii="Verdana" w:hAnsi="Verdana"/>
                <w:b/>
                <w:noProof/>
                <w:sz w:val="16"/>
                <w:szCs w:val="16"/>
                <w:lang w:val="en-GB"/>
              </w:rPr>
            </w:pPr>
            <w:r w:rsidRPr="00353FCF">
              <w:rPr>
                <w:rFonts w:ascii="Verdana" w:hAnsi="Verdana"/>
                <w:b/>
                <w:noProof/>
                <w:sz w:val="16"/>
                <w:szCs w:val="16"/>
                <w:lang w:val="en-GB"/>
              </w:rPr>
              <w:t>Key figures from Marel’s operations, January to December, in thous. of EUR</w:t>
            </w:r>
          </w:p>
        </w:tc>
      </w:tr>
      <w:tr w:rsidR="00DD53AC" w:rsidRPr="00353FCF" w:rsidTr="00DD53AC">
        <w:trPr>
          <w:trHeight w:val="300"/>
        </w:trPr>
        <w:tc>
          <w:tcPr>
            <w:tcW w:w="2709" w:type="dxa"/>
            <w:tcBorders>
              <w:top w:val="nil"/>
              <w:left w:val="nil"/>
              <w:right w:val="nil"/>
            </w:tcBorders>
            <w:noWrap/>
            <w:tcMar>
              <w:top w:w="15" w:type="dxa"/>
              <w:left w:w="15" w:type="dxa"/>
              <w:bottom w:w="0" w:type="dxa"/>
              <w:right w:w="15" w:type="dxa"/>
            </w:tcMar>
            <w:vAlign w:val="bottom"/>
          </w:tcPr>
          <w:p w:rsidR="00DD53AC" w:rsidRPr="00353FCF" w:rsidRDefault="00DD53AC" w:rsidP="00DD53AC">
            <w:pPr>
              <w:tabs>
                <w:tab w:val="left" w:pos="5245"/>
              </w:tabs>
              <w:rPr>
                <w:rFonts w:ascii="Verdana" w:hAnsi="Verdana"/>
                <w:noProof/>
                <w:sz w:val="16"/>
                <w:szCs w:val="16"/>
                <w:lang w:val="en-GB"/>
              </w:rPr>
            </w:pPr>
          </w:p>
        </w:tc>
        <w:tc>
          <w:tcPr>
            <w:tcW w:w="1134" w:type="dxa"/>
            <w:tcBorders>
              <w:top w:val="nil"/>
              <w:left w:val="nil"/>
              <w:right w:val="nil"/>
            </w:tcBorders>
          </w:tcPr>
          <w:p w:rsidR="00DD53AC" w:rsidRPr="00353FCF" w:rsidRDefault="00DD53AC" w:rsidP="00DD53AC">
            <w:pPr>
              <w:tabs>
                <w:tab w:val="left" w:pos="5245"/>
              </w:tabs>
              <w:jc w:val="right"/>
              <w:rPr>
                <w:rFonts w:ascii="Verdana" w:hAnsi="Verdana"/>
                <w:noProof/>
                <w:sz w:val="16"/>
                <w:szCs w:val="16"/>
                <w:lang w:val="en-GB"/>
              </w:rPr>
            </w:pPr>
          </w:p>
        </w:tc>
        <w:tc>
          <w:tcPr>
            <w:tcW w:w="992" w:type="dxa"/>
            <w:tcBorders>
              <w:top w:val="nil"/>
              <w:left w:val="nil"/>
              <w:right w:val="nil"/>
            </w:tcBorders>
          </w:tcPr>
          <w:p w:rsidR="00DD53AC" w:rsidRPr="00353FCF" w:rsidRDefault="00DD53AC" w:rsidP="00DD53AC">
            <w:pPr>
              <w:tabs>
                <w:tab w:val="left" w:pos="5245"/>
              </w:tabs>
              <w:jc w:val="right"/>
              <w:rPr>
                <w:rFonts w:ascii="Verdana" w:hAnsi="Verdana"/>
                <w:noProof/>
                <w:sz w:val="16"/>
                <w:szCs w:val="16"/>
                <w:lang w:val="en-GB"/>
              </w:rPr>
            </w:pPr>
          </w:p>
        </w:tc>
        <w:tc>
          <w:tcPr>
            <w:tcW w:w="992" w:type="dxa"/>
            <w:tcBorders>
              <w:top w:val="nil"/>
              <w:left w:val="nil"/>
              <w:right w:val="nil"/>
            </w:tcBorders>
          </w:tcPr>
          <w:p w:rsidR="00DD53AC" w:rsidRPr="00353FCF" w:rsidRDefault="00DD53AC" w:rsidP="00DD53AC">
            <w:pPr>
              <w:tabs>
                <w:tab w:val="left" w:pos="5245"/>
              </w:tabs>
              <w:jc w:val="right"/>
              <w:rPr>
                <w:rFonts w:ascii="Verdana" w:hAnsi="Verdana"/>
                <w:noProof/>
                <w:sz w:val="16"/>
                <w:szCs w:val="16"/>
                <w:lang w:val="en-GB"/>
              </w:rPr>
            </w:pPr>
          </w:p>
        </w:tc>
        <w:tc>
          <w:tcPr>
            <w:tcW w:w="992" w:type="dxa"/>
            <w:tcBorders>
              <w:top w:val="nil"/>
              <w:left w:val="nil"/>
              <w:right w:val="nil"/>
            </w:tcBorders>
            <w:vAlign w:val="bottom"/>
          </w:tcPr>
          <w:p w:rsidR="00DD53AC" w:rsidRPr="00353FCF" w:rsidRDefault="00DD53AC" w:rsidP="00DD53AC">
            <w:pPr>
              <w:tabs>
                <w:tab w:val="left" w:pos="5245"/>
              </w:tabs>
              <w:jc w:val="right"/>
              <w:rPr>
                <w:rFonts w:ascii="Verdana" w:hAnsi="Verdana"/>
                <w:noProof/>
                <w:sz w:val="16"/>
                <w:szCs w:val="16"/>
                <w:lang w:val="en-GB"/>
              </w:rPr>
            </w:pPr>
          </w:p>
        </w:tc>
        <w:tc>
          <w:tcPr>
            <w:tcW w:w="993" w:type="dxa"/>
            <w:tcBorders>
              <w:top w:val="nil"/>
              <w:left w:val="nil"/>
              <w:right w:val="nil"/>
            </w:tcBorders>
            <w:vAlign w:val="bottom"/>
          </w:tcPr>
          <w:p w:rsidR="00DD53AC" w:rsidRPr="00353FCF" w:rsidRDefault="00DD53AC" w:rsidP="00DD53AC">
            <w:pPr>
              <w:tabs>
                <w:tab w:val="left" w:pos="5245"/>
              </w:tabs>
              <w:jc w:val="right"/>
              <w:rPr>
                <w:rFonts w:ascii="Verdana" w:hAnsi="Verdana"/>
                <w:noProof/>
                <w:sz w:val="16"/>
                <w:szCs w:val="16"/>
                <w:lang w:val="en-GB"/>
              </w:rPr>
            </w:pPr>
          </w:p>
        </w:tc>
      </w:tr>
      <w:tr w:rsidR="00DD53AC" w:rsidRPr="00353FCF" w:rsidTr="00DD53AC">
        <w:trPr>
          <w:trHeight w:val="300"/>
        </w:trPr>
        <w:tc>
          <w:tcPr>
            <w:tcW w:w="2709" w:type="dxa"/>
            <w:tcBorders>
              <w:top w:val="nil"/>
              <w:left w:val="nil"/>
              <w:right w:val="nil"/>
            </w:tcBorders>
            <w:shd w:val="clear" w:color="auto" w:fill="C0C0C0"/>
            <w:noWrap/>
            <w:tcMar>
              <w:top w:w="15" w:type="dxa"/>
              <w:left w:w="15" w:type="dxa"/>
              <w:bottom w:w="0" w:type="dxa"/>
              <w:right w:w="15" w:type="dxa"/>
            </w:tcMar>
            <w:vAlign w:val="bottom"/>
          </w:tcPr>
          <w:p w:rsidR="00DD53AC" w:rsidRPr="00353FCF" w:rsidRDefault="00DD53AC" w:rsidP="00DD53AC">
            <w:pPr>
              <w:tabs>
                <w:tab w:val="left" w:pos="5245"/>
              </w:tabs>
              <w:rPr>
                <w:rFonts w:ascii="Verdana" w:hAnsi="Verdana"/>
                <w:noProof/>
                <w:sz w:val="16"/>
                <w:szCs w:val="16"/>
                <w:lang w:val="en-GB"/>
              </w:rPr>
            </w:pPr>
          </w:p>
        </w:tc>
        <w:tc>
          <w:tcPr>
            <w:tcW w:w="1134" w:type="dxa"/>
            <w:tcBorders>
              <w:top w:val="nil"/>
              <w:left w:val="nil"/>
              <w:right w:val="nil"/>
            </w:tcBorders>
            <w:shd w:val="clear" w:color="auto" w:fill="C0C0C0"/>
          </w:tcPr>
          <w:p w:rsidR="00DD53AC" w:rsidRPr="00353FCF" w:rsidRDefault="00DD53AC" w:rsidP="00DD53AC">
            <w:pPr>
              <w:tabs>
                <w:tab w:val="left" w:pos="5245"/>
              </w:tabs>
              <w:jc w:val="right"/>
              <w:rPr>
                <w:rFonts w:ascii="Verdana" w:hAnsi="Verdana"/>
                <w:noProof/>
                <w:sz w:val="16"/>
                <w:szCs w:val="16"/>
                <w:lang w:val="en-GB"/>
              </w:rPr>
            </w:pPr>
          </w:p>
          <w:p w:rsidR="00DD53AC" w:rsidRPr="00353FCF" w:rsidRDefault="00DD53AC" w:rsidP="00DD53AC">
            <w:pPr>
              <w:tabs>
                <w:tab w:val="left" w:pos="5245"/>
              </w:tabs>
              <w:jc w:val="right"/>
              <w:rPr>
                <w:rFonts w:ascii="Verdana" w:hAnsi="Verdana"/>
                <w:noProof/>
                <w:sz w:val="16"/>
                <w:szCs w:val="16"/>
                <w:lang w:val="en-GB"/>
              </w:rPr>
            </w:pPr>
            <w:r w:rsidRPr="00353FCF">
              <w:rPr>
                <w:rFonts w:ascii="Verdana" w:hAnsi="Verdana"/>
                <w:noProof/>
                <w:sz w:val="16"/>
                <w:szCs w:val="16"/>
                <w:lang w:val="en-GB"/>
              </w:rPr>
              <w:t>2008</w:t>
            </w:r>
          </w:p>
        </w:tc>
        <w:tc>
          <w:tcPr>
            <w:tcW w:w="992" w:type="dxa"/>
            <w:tcBorders>
              <w:top w:val="nil"/>
              <w:left w:val="nil"/>
              <w:right w:val="nil"/>
            </w:tcBorders>
            <w:shd w:val="clear" w:color="auto" w:fill="C0C0C0"/>
          </w:tcPr>
          <w:p w:rsidR="00DD53AC" w:rsidRPr="00353FCF" w:rsidRDefault="00DD53AC" w:rsidP="00DD53AC">
            <w:pPr>
              <w:tabs>
                <w:tab w:val="left" w:pos="5245"/>
              </w:tabs>
              <w:jc w:val="right"/>
              <w:rPr>
                <w:rFonts w:ascii="Verdana" w:hAnsi="Verdana"/>
                <w:noProof/>
                <w:sz w:val="16"/>
                <w:szCs w:val="16"/>
                <w:lang w:val="en-GB"/>
              </w:rPr>
            </w:pPr>
          </w:p>
          <w:p w:rsidR="00DD53AC" w:rsidRPr="00353FCF" w:rsidRDefault="00DD53AC" w:rsidP="00DD53AC">
            <w:pPr>
              <w:tabs>
                <w:tab w:val="left" w:pos="5245"/>
              </w:tabs>
              <w:jc w:val="right"/>
              <w:rPr>
                <w:rFonts w:ascii="Verdana" w:hAnsi="Verdana"/>
                <w:noProof/>
                <w:sz w:val="16"/>
                <w:szCs w:val="16"/>
                <w:lang w:val="en-GB"/>
              </w:rPr>
            </w:pPr>
            <w:r w:rsidRPr="00353FCF">
              <w:rPr>
                <w:rFonts w:ascii="Verdana" w:hAnsi="Verdana"/>
                <w:noProof/>
                <w:sz w:val="16"/>
                <w:szCs w:val="16"/>
                <w:lang w:val="en-GB"/>
              </w:rPr>
              <w:t>2007</w:t>
            </w:r>
          </w:p>
        </w:tc>
        <w:tc>
          <w:tcPr>
            <w:tcW w:w="992" w:type="dxa"/>
            <w:tcBorders>
              <w:top w:val="nil"/>
              <w:left w:val="nil"/>
              <w:right w:val="nil"/>
            </w:tcBorders>
            <w:shd w:val="clear" w:color="auto" w:fill="C0C0C0"/>
          </w:tcPr>
          <w:p w:rsidR="00DD53AC" w:rsidRPr="00353FCF" w:rsidRDefault="00DD53AC" w:rsidP="00DD53AC">
            <w:pPr>
              <w:tabs>
                <w:tab w:val="left" w:pos="5245"/>
              </w:tabs>
              <w:jc w:val="right"/>
              <w:rPr>
                <w:rFonts w:ascii="Verdana" w:hAnsi="Verdana"/>
                <w:noProof/>
                <w:sz w:val="16"/>
                <w:szCs w:val="16"/>
                <w:lang w:val="en-GB"/>
              </w:rPr>
            </w:pPr>
          </w:p>
          <w:p w:rsidR="00DD53AC" w:rsidRPr="00353FCF" w:rsidRDefault="00DD53AC" w:rsidP="00DD53AC">
            <w:pPr>
              <w:tabs>
                <w:tab w:val="left" w:pos="5245"/>
              </w:tabs>
              <w:jc w:val="right"/>
              <w:rPr>
                <w:rFonts w:ascii="Verdana" w:hAnsi="Verdana"/>
                <w:noProof/>
                <w:sz w:val="16"/>
                <w:szCs w:val="16"/>
                <w:lang w:val="en-GB"/>
              </w:rPr>
            </w:pPr>
            <w:r w:rsidRPr="00353FCF">
              <w:rPr>
                <w:rFonts w:ascii="Verdana" w:hAnsi="Verdana"/>
                <w:noProof/>
                <w:sz w:val="16"/>
                <w:szCs w:val="16"/>
                <w:lang w:val="en-GB"/>
              </w:rPr>
              <w:t>2006</w:t>
            </w:r>
          </w:p>
        </w:tc>
        <w:tc>
          <w:tcPr>
            <w:tcW w:w="992" w:type="dxa"/>
            <w:tcBorders>
              <w:top w:val="nil"/>
              <w:left w:val="nil"/>
              <w:right w:val="nil"/>
            </w:tcBorders>
            <w:shd w:val="clear" w:color="auto" w:fill="C0C0C0"/>
          </w:tcPr>
          <w:p w:rsidR="00DD53AC" w:rsidRPr="00353FCF" w:rsidRDefault="00DD53AC" w:rsidP="00DD53AC">
            <w:pPr>
              <w:tabs>
                <w:tab w:val="left" w:pos="5245"/>
              </w:tabs>
              <w:jc w:val="right"/>
              <w:rPr>
                <w:rFonts w:ascii="Verdana" w:hAnsi="Verdana"/>
                <w:noProof/>
                <w:sz w:val="16"/>
                <w:szCs w:val="16"/>
                <w:lang w:val="en-GB"/>
              </w:rPr>
            </w:pPr>
          </w:p>
          <w:p w:rsidR="00DD53AC" w:rsidRPr="00353FCF" w:rsidRDefault="00DD53AC" w:rsidP="00DD53AC">
            <w:pPr>
              <w:tabs>
                <w:tab w:val="left" w:pos="5245"/>
              </w:tabs>
              <w:jc w:val="right"/>
              <w:rPr>
                <w:rFonts w:ascii="Verdana" w:hAnsi="Verdana"/>
                <w:noProof/>
                <w:sz w:val="16"/>
                <w:szCs w:val="16"/>
                <w:lang w:val="en-GB"/>
              </w:rPr>
            </w:pPr>
            <w:r w:rsidRPr="00353FCF">
              <w:rPr>
                <w:rFonts w:ascii="Verdana" w:hAnsi="Verdana"/>
                <w:noProof/>
                <w:sz w:val="16"/>
                <w:szCs w:val="16"/>
                <w:lang w:val="en-GB"/>
              </w:rPr>
              <w:t>2005</w:t>
            </w:r>
          </w:p>
        </w:tc>
        <w:tc>
          <w:tcPr>
            <w:tcW w:w="993" w:type="dxa"/>
            <w:tcBorders>
              <w:top w:val="nil"/>
              <w:left w:val="nil"/>
              <w:right w:val="nil"/>
            </w:tcBorders>
            <w:shd w:val="clear" w:color="auto" w:fill="C0C0C0"/>
            <w:vAlign w:val="bottom"/>
          </w:tcPr>
          <w:p w:rsidR="00DD53AC" w:rsidRPr="00353FCF" w:rsidRDefault="00DD53AC" w:rsidP="00DD53AC">
            <w:pPr>
              <w:tabs>
                <w:tab w:val="left" w:pos="5245"/>
              </w:tabs>
              <w:jc w:val="right"/>
              <w:rPr>
                <w:rFonts w:ascii="Verdana" w:hAnsi="Verdana"/>
                <w:noProof/>
                <w:sz w:val="16"/>
                <w:szCs w:val="16"/>
                <w:lang w:val="en-GB"/>
              </w:rPr>
            </w:pPr>
            <w:r w:rsidRPr="00353FCF">
              <w:rPr>
                <w:rFonts w:ascii="Verdana" w:hAnsi="Verdana"/>
                <w:noProof/>
                <w:sz w:val="16"/>
                <w:szCs w:val="16"/>
                <w:lang w:val="en-GB"/>
              </w:rPr>
              <w:t>2004</w:t>
            </w:r>
          </w:p>
        </w:tc>
      </w:tr>
      <w:tr w:rsidR="00D715D2" w:rsidRPr="00353FCF" w:rsidTr="00DD53AC">
        <w:trPr>
          <w:trHeight w:val="285"/>
        </w:trPr>
        <w:tc>
          <w:tcPr>
            <w:tcW w:w="2709" w:type="dxa"/>
            <w:tcBorders>
              <w:left w:val="nil"/>
              <w:right w:val="nil"/>
            </w:tcBorders>
            <w:noWrap/>
            <w:vAlign w:val="bottom"/>
          </w:tcPr>
          <w:p w:rsidR="00D715D2" w:rsidRPr="00353FCF" w:rsidRDefault="00D715D2" w:rsidP="008C342C">
            <w:pPr>
              <w:tabs>
                <w:tab w:val="left" w:pos="5245"/>
              </w:tabs>
              <w:spacing w:before="120"/>
              <w:jc w:val="both"/>
              <w:rPr>
                <w:rFonts w:ascii="Verdana" w:hAnsi="Verdana"/>
                <w:noProof/>
                <w:sz w:val="16"/>
                <w:szCs w:val="16"/>
                <w:lang w:val="en-GB"/>
              </w:rPr>
            </w:pPr>
            <w:r w:rsidRPr="00353FCF">
              <w:rPr>
                <w:rFonts w:ascii="Verdana" w:hAnsi="Verdana"/>
                <w:noProof/>
                <w:sz w:val="16"/>
                <w:szCs w:val="16"/>
                <w:lang w:val="en-GB"/>
              </w:rPr>
              <w:t>Sales</w:t>
            </w:r>
          </w:p>
        </w:tc>
        <w:tc>
          <w:tcPr>
            <w:tcW w:w="1134" w:type="dxa"/>
            <w:tcBorders>
              <w:left w:val="nil"/>
              <w:right w:val="nil"/>
            </w:tcBorders>
          </w:tcPr>
          <w:p w:rsidR="00D715D2" w:rsidRPr="007C7A8D" w:rsidRDefault="00D715D2" w:rsidP="00D715D2">
            <w:pPr>
              <w:tabs>
                <w:tab w:val="left" w:pos="5245"/>
              </w:tabs>
              <w:spacing w:before="120"/>
              <w:jc w:val="right"/>
              <w:rPr>
                <w:rFonts w:ascii="Verdana" w:hAnsi="Verdana"/>
                <w:noProof/>
                <w:sz w:val="16"/>
                <w:szCs w:val="16"/>
              </w:rPr>
            </w:pPr>
            <w:r w:rsidRPr="007C7A8D">
              <w:rPr>
                <w:rFonts w:ascii="Verdana" w:hAnsi="Verdana"/>
                <w:noProof/>
                <w:sz w:val="16"/>
                <w:szCs w:val="16"/>
              </w:rPr>
              <w:t>540</w:t>
            </w:r>
            <w:r>
              <w:rPr>
                <w:rFonts w:ascii="Verdana" w:hAnsi="Verdana"/>
                <w:noProof/>
                <w:sz w:val="16"/>
                <w:szCs w:val="16"/>
              </w:rPr>
              <w:t>,</w:t>
            </w:r>
            <w:r w:rsidRPr="007C7A8D">
              <w:rPr>
                <w:rFonts w:ascii="Verdana" w:hAnsi="Verdana"/>
                <w:noProof/>
                <w:sz w:val="16"/>
                <w:szCs w:val="16"/>
              </w:rPr>
              <w:t>149</w:t>
            </w:r>
          </w:p>
        </w:tc>
        <w:tc>
          <w:tcPr>
            <w:tcW w:w="992" w:type="dxa"/>
            <w:tcBorders>
              <w:left w:val="nil"/>
              <w:right w:val="nil"/>
            </w:tcBorders>
          </w:tcPr>
          <w:p w:rsidR="00D715D2" w:rsidRPr="00353FCF" w:rsidRDefault="00D715D2" w:rsidP="00D715D2">
            <w:pPr>
              <w:tabs>
                <w:tab w:val="left" w:pos="5245"/>
              </w:tabs>
              <w:spacing w:before="120"/>
              <w:jc w:val="right"/>
              <w:rPr>
                <w:rFonts w:ascii="Verdana" w:hAnsi="Verdana"/>
                <w:noProof/>
                <w:sz w:val="16"/>
                <w:szCs w:val="16"/>
                <w:lang w:val="en-GB"/>
              </w:rPr>
            </w:pPr>
            <w:r w:rsidRPr="00353FCF">
              <w:rPr>
                <w:rFonts w:ascii="Verdana" w:hAnsi="Verdana"/>
                <w:noProof/>
                <w:sz w:val="16"/>
                <w:szCs w:val="16"/>
                <w:lang w:val="en-GB"/>
              </w:rPr>
              <w:t>289</w:t>
            </w:r>
            <w:r>
              <w:rPr>
                <w:rFonts w:ascii="Verdana" w:hAnsi="Verdana"/>
                <w:noProof/>
                <w:sz w:val="16"/>
                <w:szCs w:val="16"/>
                <w:lang w:val="en-GB"/>
              </w:rPr>
              <w:t>,</w:t>
            </w:r>
            <w:r w:rsidRPr="00353FCF">
              <w:rPr>
                <w:rFonts w:ascii="Verdana" w:hAnsi="Verdana"/>
                <w:noProof/>
                <w:sz w:val="16"/>
                <w:szCs w:val="16"/>
                <w:lang w:val="en-GB"/>
              </w:rPr>
              <w:t>817</w:t>
            </w:r>
          </w:p>
        </w:tc>
        <w:tc>
          <w:tcPr>
            <w:tcW w:w="992" w:type="dxa"/>
            <w:tcBorders>
              <w:left w:val="nil"/>
              <w:right w:val="nil"/>
            </w:tcBorders>
          </w:tcPr>
          <w:p w:rsidR="00D715D2" w:rsidRPr="00353FCF" w:rsidRDefault="00D715D2" w:rsidP="00D715D2">
            <w:pPr>
              <w:tabs>
                <w:tab w:val="left" w:pos="5245"/>
              </w:tabs>
              <w:spacing w:before="120"/>
              <w:jc w:val="right"/>
              <w:rPr>
                <w:rFonts w:ascii="Verdana" w:hAnsi="Verdana"/>
                <w:noProof/>
                <w:sz w:val="16"/>
                <w:szCs w:val="16"/>
                <w:lang w:val="en-GB"/>
              </w:rPr>
            </w:pPr>
            <w:r w:rsidRPr="00353FCF">
              <w:rPr>
                <w:rFonts w:ascii="Verdana" w:hAnsi="Verdana"/>
                <w:noProof/>
                <w:sz w:val="16"/>
                <w:szCs w:val="16"/>
                <w:lang w:val="en-GB"/>
              </w:rPr>
              <w:t>208</w:t>
            </w:r>
            <w:r>
              <w:rPr>
                <w:rFonts w:ascii="Verdana" w:hAnsi="Verdana"/>
                <w:noProof/>
                <w:sz w:val="16"/>
                <w:szCs w:val="16"/>
                <w:lang w:val="en-GB"/>
              </w:rPr>
              <w:t>,</w:t>
            </w:r>
            <w:r w:rsidRPr="00353FCF">
              <w:rPr>
                <w:rFonts w:ascii="Verdana" w:hAnsi="Verdana"/>
                <w:noProof/>
                <w:sz w:val="16"/>
                <w:szCs w:val="16"/>
                <w:lang w:val="en-GB"/>
              </w:rPr>
              <w:t>700</w:t>
            </w:r>
          </w:p>
        </w:tc>
        <w:tc>
          <w:tcPr>
            <w:tcW w:w="992" w:type="dxa"/>
            <w:tcBorders>
              <w:left w:val="nil"/>
              <w:right w:val="nil"/>
            </w:tcBorders>
          </w:tcPr>
          <w:p w:rsidR="00D715D2" w:rsidRPr="00353FCF" w:rsidRDefault="00D715D2" w:rsidP="00D715D2">
            <w:pPr>
              <w:tabs>
                <w:tab w:val="left" w:pos="5245"/>
              </w:tabs>
              <w:spacing w:before="120"/>
              <w:jc w:val="right"/>
              <w:rPr>
                <w:rFonts w:ascii="Verdana" w:hAnsi="Verdana"/>
                <w:noProof/>
                <w:sz w:val="16"/>
                <w:szCs w:val="16"/>
                <w:lang w:val="en-GB"/>
              </w:rPr>
            </w:pPr>
            <w:r w:rsidRPr="00353FCF">
              <w:rPr>
                <w:rFonts w:ascii="Verdana" w:hAnsi="Verdana"/>
                <w:noProof/>
                <w:sz w:val="16"/>
                <w:szCs w:val="16"/>
                <w:lang w:val="en-GB"/>
              </w:rPr>
              <w:t>129</w:t>
            </w:r>
            <w:r>
              <w:rPr>
                <w:rFonts w:ascii="Verdana" w:hAnsi="Verdana"/>
                <w:noProof/>
                <w:sz w:val="16"/>
                <w:szCs w:val="16"/>
                <w:lang w:val="en-GB"/>
              </w:rPr>
              <w:t>,</w:t>
            </w:r>
            <w:r w:rsidRPr="00353FCF">
              <w:rPr>
                <w:rFonts w:ascii="Verdana" w:hAnsi="Verdana"/>
                <w:noProof/>
                <w:sz w:val="16"/>
                <w:szCs w:val="16"/>
                <w:lang w:val="en-GB"/>
              </w:rPr>
              <w:t>039</w:t>
            </w:r>
          </w:p>
        </w:tc>
        <w:tc>
          <w:tcPr>
            <w:tcW w:w="993" w:type="dxa"/>
            <w:tcBorders>
              <w:left w:val="nil"/>
              <w:right w:val="nil"/>
            </w:tcBorders>
          </w:tcPr>
          <w:p w:rsidR="00D715D2" w:rsidRPr="00353FCF" w:rsidRDefault="00D715D2" w:rsidP="00D715D2">
            <w:pPr>
              <w:tabs>
                <w:tab w:val="left" w:pos="5245"/>
              </w:tabs>
              <w:spacing w:before="120"/>
              <w:jc w:val="right"/>
              <w:rPr>
                <w:rFonts w:ascii="Verdana" w:hAnsi="Verdana"/>
                <w:noProof/>
                <w:sz w:val="16"/>
                <w:szCs w:val="16"/>
                <w:lang w:val="en-GB"/>
              </w:rPr>
            </w:pPr>
            <w:r w:rsidRPr="00353FCF">
              <w:rPr>
                <w:rFonts w:ascii="Verdana" w:hAnsi="Verdana"/>
                <w:noProof/>
                <w:sz w:val="16"/>
                <w:szCs w:val="16"/>
                <w:lang w:val="en-GB"/>
              </w:rPr>
              <w:t>112</w:t>
            </w:r>
            <w:r>
              <w:rPr>
                <w:rFonts w:ascii="Verdana" w:hAnsi="Verdana"/>
                <w:noProof/>
                <w:sz w:val="16"/>
                <w:szCs w:val="16"/>
                <w:lang w:val="en-GB"/>
              </w:rPr>
              <w:t>,</w:t>
            </w:r>
            <w:r w:rsidRPr="00353FCF">
              <w:rPr>
                <w:rFonts w:ascii="Verdana" w:hAnsi="Verdana"/>
                <w:noProof/>
                <w:sz w:val="16"/>
                <w:szCs w:val="16"/>
                <w:lang w:val="en-GB"/>
              </w:rPr>
              <w:t>301</w:t>
            </w:r>
          </w:p>
        </w:tc>
      </w:tr>
      <w:tr w:rsidR="00D715D2" w:rsidRPr="00353FCF" w:rsidTr="00DD53AC">
        <w:trPr>
          <w:trHeight w:val="285"/>
        </w:trPr>
        <w:tc>
          <w:tcPr>
            <w:tcW w:w="2709" w:type="dxa"/>
            <w:tcBorders>
              <w:left w:val="nil"/>
              <w:right w:val="nil"/>
            </w:tcBorders>
            <w:noWrap/>
            <w:vAlign w:val="bottom"/>
          </w:tcPr>
          <w:p w:rsidR="00D715D2" w:rsidRPr="00353FCF" w:rsidRDefault="00D715D2" w:rsidP="008C342C">
            <w:pPr>
              <w:tabs>
                <w:tab w:val="left" w:pos="5245"/>
              </w:tabs>
              <w:spacing w:before="120"/>
              <w:jc w:val="both"/>
              <w:rPr>
                <w:rFonts w:ascii="Verdana" w:hAnsi="Verdana"/>
                <w:noProof/>
                <w:sz w:val="16"/>
                <w:szCs w:val="16"/>
                <w:lang w:val="en-GB"/>
              </w:rPr>
            </w:pPr>
            <w:r w:rsidRPr="00353FCF">
              <w:rPr>
                <w:rFonts w:ascii="Verdana" w:hAnsi="Verdana"/>
                <w:noProof/>
                <w:sz w:val="16"/>
                <w:szCs w:val="16"/>
                <w:lang w:val="en-GB"/>
              </w:rPr>
              <w:t>Profit from operations (EBIT)</w:t>
            </w:r>
          </w:p>
        </w:tc>
        <w:tc>
          <w:tcPr>
            <w:tcW w:w="1134" w:type="dxa"/>
            <w:tcBorders>
              <w:left w:val="nil"/>
              <w:right w:val="nil"/>
            </w:tcBorders>
          </w:tcPr>
          <w:p w:rsidR="00D715D2" w:rsidRPr="007C7A8D" w:rsidRDefault="00D715D2" w:rsidP="00D715D2">
            <w:pPr>
              <w:tabs>
                <w:tab w:val="left" w:pos="5245"/>
              </w:tabs>
              <w:spacing w:before="120"/>
              <w:jc w:val="right"/>
              <w:rPr>
                <w:rFonts w:ascii="Verdana" w:hAnsi="Verdana"/>
                <w:noProof/>
                <w:sz w:val="16"/>
                <w:szCs w:val="16"/>
              </w:rPr>
            </w:pPr>
            <w:r w:rsidRPr="007C7A8D">
              <w:rPr>
                <w:rFonts w:ascii="Verdana" w:hAnsi="Verdana"/>
                <w:noProof/>
                <w:sz w:val="16"/>
                <w:szCs w:val="16"/>
              </w:rPr>
              <w:t>20</w:t>
            </w:r>
            <w:r>
              <w:rPr>
                <w:rFonts w:ascii="Verdana" w:hAnsi="Verdana"/>
                <w:noProof/>
                <w:sz w:val="16"/>
                <w:szCs w:val="16"/>
              </w:rPr>
              <w:t>,</w:t>
            </w:r>
            <w:r w:rsidRPr="007C7A8D">
              <w:rPr>
                <w:rFonts w:ascii="Verdana" w:hAnsi="Verdana"/>
                <w:noProof/>
                <w:sz w:val="16"/>
                <w:szCs w:val="16"/>
              </w:rPr>
              <w:t>434</w:t>
            </w:r>
          </w:p>
        </w:tc>
        <w:tc>
          <w:tcPr>
            <w:tcW w:w="992" w:type="dxa"/>
            <w:tcBorders>
              <w:left w:val="nil"/>
              <w:right w:val="nil"/>
            </w:tcBorders>
          </w:tcPr>
          <w:p w:rsidR="00D715D2" w:rsidRPr="00353FCF" w:rsidRDefault="00D715D2" w:rsidP="00D715D2">
            <w:pPr>
              <w:tabs>
                <w:tab w:val="left" w:pos="5245"/>
              </w:tabs>
              <w:spacing w:before="120"/>
              <w:jc w:val="right"/>
              <w:rPr>
                <w:rFonts w:ascii="Verdana" w:hAnsi="Verdana"/>
                <w:noProof/>
                <w:sz w:val="16"/>
                <w:szCs w:val="16"/>
                <w:lang w:val="en-GB"/>
              </w:rPr>
            </w:pPr>
            <w:r w:rsidRPr="00353FCF">
              <w:rPr>
                <w:rFonts w:ascii="Verdana" w:hAnsi="Verdana"/>
                <w:noProof/>
                <w:sz w:val="16"/>
                <w:szCs w:val="16"/>
                <w:lang w:val="en-GB"/>
              </w:rPr>
              <w:t>10</w:t>
            </w:r>
            <w:r>
              <w:rPr>
                <w:rFonts w:ascii="Verdana" w:hAnsi="Verdana"/>
                <w:noProof/>
                <w:sz w:val="16"/>
                <w:szCs w:val="16"/>
                <w:lang w:val="en-GB"/>
              </w:rPr>
              <w:t>,</w:t>
            </w:r>
            <w:r w:rsidRPr="00353FCF">
              <w:rPr>
                <w:rFonts w:ascii="Verdana" w:hAnsi="Verdana"/>
                <w:noProof/>
                <w:sz w:val="16"/>
                <w:szCs w:val="16"/>
                <w:lang w:val="en-GB"/>
              </w:rPr>
              <w:t>029</w:t>
            </w:r>
          </w:p>
        </w:tc>
        <w:tc>
          <w:tcPr>
            <w:tcW w:w="992" w:type="dxa"/>
            <w:tcBorders>
              <w:left w:val="nil"/>
              <w:right w:val="nil"/>
            </w:tcBorders>
          </w:tcPr>
          <w:p w:rsidR="00D715D2" w:rsidRPr="00353FCF" w:rsidRDefault="00D715D2" w:rsidP="00D715D2">
            <w:pPr>
              <w:tabs>
                <w:tab w:val="left" w:pos="5245"/>
              </w:tabs>
              <w:spacing w:before="120"/>
              <w:jc w:val="right"/>
              <w:rPr>
                <w:rFonts w:ascii="Verdana" w:hAnsi="Verdana"/>
                <w:noProof/>
                <w:sz w:val="16"/>
                <w:szCs w:val="16"/>
                <w:lang w:val="en-GB"/>
              </w:rPr>
            </w:pPr>
            <w:r w:rsidRPr="00353FCF">
              <w:rPr>
                <w:rFonts w:ascii="Verdana" w:hAnsi="Verdana"/>
                <w:noProof/>
                <w:sz w:val="16"/>
                <w:szCs w:val="16"/>
                <w:lang w:val="en-GB"/>
              </w:rPr>
              <w:t>7</w:t>
            </w:r>
            <w:r>
              <w:rPr>
                <w:rFonts w:ascii="Verdana" w:hAnsi="Verdana"/>
                <w:noProof/>
                <w:sz w:val="16"/>
                <w:szCs w:val="16"/>
                <w:lang w:val="en-GB"/>
              </w:rPr>
              <w:t>,</w:t>
            </w:r>
            <w:r w:rsidRPr="00353FCF">
              <w:rPr>
                <w:rFonts w:ascii="Verdana" w:hAnsi="Verdana"/>
                <w:noProof/>
                <w:sz w:val="16"/>
                <w:szCs w:val="16"/>
                <w:lang w:val="en-GB"/>
              </w:rPr>
              <w:t>527</w:t>
            </w:r>
          </w:p>
        </w:tc>
        <w:tc>
          <w:tcPr>
            <w:tcW w:w="992" w:type="dxa"/>
            <w:tcBorders>
              <w:left w:val="nil"/>
              <w:right w:val="nil"/>
            </w:tcBorders>
          </w:tcPr>
          <w:p w:rsidR="00D715D2" w:rsidRPr="00353FCF" w:rsidRDefault="00D715D2" w:rsidP="00D715D2">
            <w:pPr>
              <w:tabs>
                <w:tab w:val="left" w:pos="5245"/>
              </w:tabs>
              <w:spacing w:before="120"/>
              <w:jc w:val="right"/>
              <w:rPr>
                <w:rFonts w:ascii="Verdana" w:hAnsi="Verdana"/>
                <w:noProof/>
                <w:sz w:val="16"/>
                <w:szCs w:val="16"/>
                <w:lang w:val="en-GB"/>
              </w:rPr>
            </w:pPr>
            <w:r w:rsidRPr="00353FCF">
              <w:rPr>
                <w:rFonts w:ascii="Verdana" w:hAnsi="Verdana"/>
                <w:noProof/>
                <w:sz w:val="16"/>
                <w:szCs w:val="16"/>
                <w:lang w:val="en-GB"/>
              </w:rPr>
              <w:t>9</w:t>
            </w:r>
            <w:r>
              <w:rPr>
                <w:rFonts w:ascii="Verdana" w:hAnsi="Verdana"/>
                <w:noProof/>
                <w:sz w:val="16"/>
                <w:szCs w:val="16"/>
                <w:lang w:val="en-GB"/>
              </w:rPr>
              <w:t>,</w:t>
            </w:r>
            <w:r w:rsidRPr="00353FCF">
              <w:rPr>
                <w:rFonts w:ascii="Verdana" w:hAnsi="Verdana"/>
                <w:noProof/>
                <w:sz w:val="16"/>
                <w:szCs w:val="16"/>
                <w:lang w:val="en-GB"/>
              </w:rPr>
              <w:t>721</w:t>
            </w:r>
          </w:p>
        </w:tc>
        <w:tc>
          <w:tcPr>
            <w:tcW w:w="993" w:type="dxa"/>
            <w:tcBorders>
              <w:left w:val="nil"/>
              <w:right w:val="nil"/>
            </w:tcBorders>
          </w:tcPr>
          <w:p w:rsidR="00D715D2" w:rsidRPr="00353FCF" w:rsidRDefault="00D715D2" w:rsidP="00D715D2">
            <w:pPr>
              <w:tabs>
                <w:tab w:val="left" w:pos="5245"/>
              </w:tabs>
              <w:spacing w:before="120"/>
              <w:jc w:val="right"/>
              <w:rPr>
                <w:rFonts w:ascii="Verdana" w:hAnsi="Verdana"/>
                <w:noProof/>
                <w:sz w:val="16"/>
                <w:szCs w:val="16"/>
                <w:lang w:val="en-GB"/>
              </w:rPr>
            </w:pPr>
            <w:r w:rsidRPr="00353FCF">
              <w:rPr>
                <w:rFonts w:ascii="Verdana" w:hAnsi="Verdana"/>
                <w:noProof/>
                <w:sz w:val="16"/>
                <w:szCs w:val="16"/>
                <w:lang w:val="en-GB"/>
              </w:rPr>
              <w:t>12</w:t>
            </w:r>
            <w:r>
              <w:rPr>
                <w:rFonts w:ascii="Verdana" w:hAnsi="Verdana"/>
                <w:noProof/>
                <w:sz w:val="16"/>
                <w:szCs w:val="16"/>
                <w:lang w:val="en-GB"/>
              </w:rPr>
              <w:t>,</w:t>
            </w:r>
            <w:r w:rsidRPr="00353FCF">
              <w:rPr>
                <w:rFonts w:ascii="Verdana" w:hAnsi="Verdana"/>
                <w:noProof/>
                <w:sz w:val="16"/>
                <w:szCs w:val="16"/>
                <w:lang w:val="en-GB"/>
              </w:rPr>
              <w:t>066</w:t>
            </w:r>
          </w:p>
        </w:tc>
      </w:tr>
      <w:tr w:rsidR="00D715D2" w:rsidRPr="00353FCF" w:rsidTr="00DD53AC">
        <w:trPr>
          <w:trHeight w:val="285"/>
        </w:trPr>
        <w:tc>
          <w:tcPr>
            <w:tcW w:w="2709" w:type="dxa"/>
            <w:tcBorders>
              <w:left w:val="nil"/>
              <w:right w:val="nil"/>
            </w:tcBorders>
            <w:noWrap/>
            <w:vAlign w:val="bottom"/>
          </w:tcPr>
          <w:p w:rsidR="00D715D2" w:rsidRPr="00353FCF" w:rsidRDefault="00D715D2" w:rsidP="008C342C">
            <w:pPr>
              <w:tabs>
                <w:tab w:val="left" w:pos="5245"/>
              </w:tabs>
              <w:spacing w:before="120"/>
              <w:jc w:val="both"/>
              <w:rPr>
                <w:rFonts w:ascii="Verdana" w:hAnsi="Verdana"/>
                <w:noProof/>
                <w:sz w:val="16"/>
                <w:szCs w:val="16"/>
                <w:lang w:val="en-GB"/>
              </w:rPr>
            </w:pPr>
            <w:r w:rsidRPr="00353FCF">
              <w:rPr>
                <w:rFonts w:ascii="Verdana" w:hAnsi="Verdana"/>
                <w:noProof/>
                <w:sz w:val="16"/>
                <w:szCs w:val="16"/>
                <w:lang w:val="en-GB"/>
              </w:rPr>
              <w:t>EBIT as a % of sales</w:t>
            </w:r>
          </w:p>
        </w:tc>
        <w:tc>
          <w:tcPr>
            <w:tcW w:w="1134" w:type="dxa"/>
            <w:tcBorders>
              <w:left w:val="nil"/>
              <w:right w:val="nil"/>
            </w:tcBorders>
          </w:tcPr>
          <w:p w:rsidR="00D715D2" w:rsidRPr="007C7A8D" w:rsidRDefault="00D715D2" w:rsidP="00D715D2">
            <w:pPr>
              <w:tabs>
                <w:tab w:val="left" w:pos="5245"/>
              </w:tabs>
              <w:spacing w:before="120"/>
              <w:jc w:val="right"/>
              <w:rPr>
                <w:rFonts w:ascii="Verdana" w:hAnsi="Verdana"/>
                <w:noProof/>
                <w:sz w:val="16"/>
                <w:szCs w:val="16"/>
              </w:rPr>
            </w:pPr>
            <w:r w:rsidRPr="007C7A8D">
              <w:rPr>
                <w:rFonts w:ascii="Verdana" w:hAnsi="Verdana"/>
                <w:noProof/>
                <w:sz w:val="16"/>
                <w:szCs w:val="16"/>
              </w:rPr>
              <w:t>3</w:t>
            </w:r>
            <w:r>
              <w:rPr>
                <w:rFonts w:ascii="Verdana" w:hAnsi="Verdana"/>
                <w:noProof/>
                <w:sz w:val="16"/>
                <w:szCs w:val="16"/>
              </w:rPr>
              <w:t>.</w:t>
            </w:r>
            <w:r w:rsidRPr="007C7A8D">
              <w:rPr>
                <w:rFonts w:ascii="Verdana" w:hAnsi="Verdana"/>
                <w:noProof/>
                <w:sz w:val="16"/>
                <w:szCs w:val="16"/>
              </w:rPr>
              <w:t>8%</w:t>
            </w:r>
          </w:p>
        </w:tc>
        <w:tc>
          <w:tcPr>
            <w:tcW w:w="992" w:type="dxa"/>
            <w:tcBorders>
              <w:left w:val="nil"/>
              <w:right w:val="nil"/>
            </w:tcBorders>
          </w:tcPr>
          <w:p w:rsidR="00D715D2" w:rsidRPr="00353FCF" w:rsidRDefault="00D715D2" w:rsidP="00D715D2">
            <w:pPr>
              <w:tabs>
                <w:tab w:val="left" w:pos="5245"/>
              </w:tabs>
              <w:spacing w:before="120"/>
              <w:jc w:val="right"/>
              <w:rPr>
                <w:rFonts w:ascii="Verdana" w:hAnsi="Verdana"/>
                <w:noProof/>
                <w:sz w:val="16"/>
                <w:szCs w:val="16"/>
                <w:lang w:val="en-GB"/>
              </w:rPr>
            </w:pPr>
            <w:r w:rsidRPr="00353FCF">
              <w:rPr>
                <w:rFonts w:ascii="Verdana" w:hAnsi="Verdana"/>
                <w:noProof/>
                <w:sz w:val="16"/>
                <w:szCs w:val="16"/>
                <w:lang w:val="en-GB"/>
              </w:rPr>
              <w:t>3</w:t>
            </w:r>
            <w:r>
              <w:rPr>
                <w:rFonts w:ascii="Verdana" w:hAnsi="Verdana"/>
                <w:noProof/>
                <w:sz w:val="16"/>
                <w:szCs w:val="16"/>
                <w:lang w:val="en-GB"/>
              </w:rPr>
              <w:t>.</w:t>
            </w:r>
            <w:r w:rsidRPr="00353FCF">
              <w:rPr>
                <w:rFonts w:ascii="Verdana" w:hAnsi="Verdana"/>
                <w:noProof/>
                <w:sz w:val="16"/>
                <w:szCs w:val="16"/>
                <w:lang w:val="en-GB"/>
              </w:rPr>
              <w:t>5%</w:t>
            </w:r>
          </w:p>
        </w:tc>
        <w:tc>
          <w:tcPr>
            <w:tcW w:w="992" w:type="dxa"/>
            <w:tcBorders>
              <w:left w:val="nil"/>
              <w:right w:val="nil"/>
            </w:tcBorders>
          </w:tcPr>
          <w:p w:rsidR="00D715D2" w:rsidRPr="00353FCF" w:rsidRDefault="00D715D2" w:rsidP="00D715D2">
            <w:pPr>
              <w:tabs>
                <w:tab w:val="left" w:pos="5245"/>
              </w:tabs>
              <w:spacing w:before="120"/>
              <w:jc w:val="right"/>
              <w:rPr>
                <w:rFonts w:ascii="Verdana" w:hAnsi="Verdana"/>
                <w:noProof/>
                <w:sz w:val="16"/>
                <w:szCs w:val="16"/>
                <w:lang w:val="en-GB"/>
              </w:rPr>
            </w:pPr>
            <w:r w:rsidRPr="00353FCF">
              <w:rPr>
                <w:rFonts w:ascii="Verdana" w:hAnsi="Verdana"/>
                <w:noProof/>
                <w:sz w:val="16"/>
                <w:szCs w:val="16"/>
                <w:lang w:val="en-GB"/>
              </w:rPr>
              <w:t>3</w:t>
            </w:r>
            <w:r>
              <w:rPr>
                <w:rFonts w:ascii="Verdana" w:hAnsi="Verdana"/>
                <w:noProof/>
                <w:sz w:val="16"/>
                <w:szCs w:val="16"/>
                <w:lang w:val="en-GB"/>
              </w:rPr>
              <w:t>.</w:t>
            </w:r>
            <w:r w:rsidRPr="00353FCF">
              <w:rPr>
                <w:rFonts w:ascii="Verdana" w:hAnsi="Verdana"/>
                <w:noProof/>
                <w:sz w:val="16"/>
                <w:szCs w:val="16"/>
                <w:lang w:val="en-GB"/>
              </w:rPr>
              <w:t>6%</w:t>
            </w:r>
          </w:p>
        </w:tc>
        <w:tc>
          <w:tcPr>
            <w:tcW w:w="992" w:type="dxa"/>
            <w:tcBorders>
              <w:left w:val="nil"/>
              <w:right w:val="nil"/>
            </w:tcBorders>
          </w:tcPr>
          <w:p w:rsidR="00D715D2" w:rsidRPr="00353FCF" w:rsidRDefault="00D715D2" w:rsidP="00D715D2">
            <w:pPr>
              <w:tabs>
                <w:tab w:val="left" w:pos="5245"/>
              </w:tabs>
              <w:spacing w:before="120"/>
              <w:jc w:val="right"/>
              <w:rPr>
                <w:rFonts w:ascii="Verdana" w:hAnsi="Verdana"/>
                <w:noProof/>
                <w:sz w:val="16"/>
                <w:szCs w:val="16"/>
                <w:lang w:val="en-GB"/>
              </w:rPr>
            </w:pPr>
            <w:r w:rsidRPr="00353FCF">
              <w:rPr>
                <w:rFonts w:ascii="Verdana" w:hAnsi="Verdana"/>
                <w:noProof/>
                <w:sz w:val="16"/>
                <w:szCs w:val="16"/>
                <w:lang w:val="en-GB"/>
              </w:rPr>
              <w:t>7</w:t>
            </w:r>
            <w:r>
              <w:rPr>
                <w:rFonts w:ascii="Verdana" w:hAnsi="Verdana"/>
                <w:noProof/>
                <w:sz w:val="16"/>
                <w:szCs w:val="16"/>
                <w:lang w:val="en-GB"/>
              </w:rPr>
              <w:t>.</w:t>
            </w:r>
            <w:r w:rsidRPr="00353FCF">
              <w:rPr>
                <w:rFonts w:ascii="Verdana" w:hAnsi="Verdana"/>
                <w:noProof/>
                <w:sz w:val="16"/>
                <w:szCs w:val="16"/>
                <w:lang w:val="en-GB"/>
              </w:rPr>
              <w:t>5%</w:t>
            </w:r>
          </w:p>
        </w:tc>
        <w:tc>
          <w:tcPr>
            <w:tcW w:w="993" w:type="dxa"/>
            <w:tcBorders>
              <w:left w:val="nil"/>
              <w:right w:val="nil"/>
            </w:tcBorders>
          </w:tcPr>
          <w:p w:rsidR="00D715D2" w:rsidRPr="00353FCF" w:rsidRDefault="00D715D2" w:rsidP="00D715D2">
            <w:pPr>
              <w:tabs>
                <w:tab w:val="left" w:pos="5245"/>
              </w:tabs>
              <w:spacing w:before="120"/>
              <w:jc w:val="right"/>
              <w:rPr>
                <w:rFonts w:ascii="Verdana" w:hAnsi="Verdana"/>
                <w:noProof/>
                <w:sz w:val="16"/>
                <w:szCs w:val="16"/>
                <w:lang w:val="en-GB"/>
              </w:rPr>
            </w:pPr>
            <w:r w:rsidRPr="00353FCF">
              <w:rPr>
                <w:rFonts w:ascii="Verdana" w:hAnsi="Verdana"/>
                <w:noProof/>
                <w:sz w:val="16"/>
                <w:szCs w:val="16"/>
                <w:lang w:val="en-GB"/>
              </w:rPr>
              <w:t>10</w:t>
            </w:r>
            <w:r>
              <w:rPr>
                <w:rFonts w:ascii="Verdana" w:hAnsi="Verdana"/>
                <w:noProof/>
                <w:sz w:val="16"/>
                <w:szCs w:val="16"/>
                <w:lang w:val="en-GB"/>
              </w:rPr>
              <w:t>.</w:t>
            </w:r>
            <w:r w:rsidRPr="00353FCF">
              <w:rPr>
                <w:rFonts w:ascii="Verdana" w:hAnsi="Verdana"/>
                <w:noProof/>
                <w:sz w:val="16"/>
                <w:szCs w:val="16"/>
                <w:lang w:val="en-GB"/>
              </w:rPr>
              <w:t>7%</w:t>
            </w:r>
          </w:p>
        </w:tc>
      </w:tr>
      <w:tr w:rsidR="00D715D2" w:rsidRPr="00353FCF" w:rsidTr="00DD53AC">
        <w:trPr>
          <w:trHeight w:val="285"/>
        </w:trPr>
        <w:tc>
          <w:tcPr>
            <w:tcW w:w="2709" w:type="dxa"/>
            <w:tcBorders>
              <w:left w:val="nil"/>
              <w:right w:val="nil"/>
            </w:tcBorders>
            <w:noWrap/>
            <w:vAlign w:val="bottom"/>
          </w:tcPr>
          <w:p w:rsidR="00D715D2" w:rsidRPr="00353FCF" w:rsidRDefault="00D715D2" w:rsidP="008C342C">
            <w:pPr>
              <w:tabs>
                <w:tab w:val="left" w:pos="5245"/>
              </w:tabs>
              <w:spacing w:before="120"/>
              <w:jc w:val="both"/>
              <w:rPr>
                <w:rFonts w:ascii="Verdana" w:hAnsi="Verdana"/>
                <w:noProof/>
                <w:sz w:val="16"/>
                <w:szCs w:val="16"/>
                <w:lang w:val="en-GB"/>
              </w:rPr>
            </w:pPr>
            <w:r w:rsidRPr="00353FCF">
              <w:rPr>
                <w:rFonts w:ascii="Verdana" w:hAnsi="Verdana"/>
                <w:noProof/>
                <w:sz w:val="16"/>
                <w:szCs w:val="16"/>
                <w:lang w:val="en-GB"/>
              </w:rPr>
              <w:t>Net profit</w:t>
            </w:r>
          </w:p>
        </w:tc>
        <w:tc>
          <w:tcPr>
            <w:tcW w:w="1134" w:type="dxa"/>
            <w:tcBorders>
              <w:left w:val="nil"/>
              <w:right w:val="nil"/>
            </w:tcBorders>
          </w:tcPr>
          <w:p w:rsidR="00D715D2" w:rsidRPr="007C7A8D" w:rsidRDefault="00D715D2" w:rsidP="00D715D2">
            <w:pPr>
              <w:tabs>
                <w:tab w:val="left" w:pos="5245"/>
              </w:tabs>
              <w:spacing w:before="120"/>
              <w:jc w:val="right"/>
              <w:rPr>
                <w:rFonts w:ascii="Verdana" w:hAnsi="Verdana"/>
                <w:noProof/>
                <w:sz w:val="16"/>
                <w:szCs w:val="16"/>
              </w:rPr>
            </w:pPr>
            <w:r w:rsidRPr="007C7A8D">
              <w:rPr>
                <w:rFonts w:ascii="Verdana" w:hAnsi="Verdana"/>
                <w:noProof/>
                <w:sz w:val="16"/>
                <w:szCs w:val="16"/>
              </w:rPr>
              <w:t>(8</w:t>
            </w:r>
            <w:r>
              <w:rPr>
                <w:rFonts w:ascii="Verdana" w:hAnsi="Verdana"/>
                <w:noProof/>
                <w:sz w:val="16"/>
                <w:szCs w:val="16"/>
              </w:rPr>
              <w:t>,</w:t>
            </w:r>
            <w:r w:rsidRPr="007C7A8D">
              <w:rPr>
                <w:rFonts w:ascii="Verdana" w:hAnsi="Verdana"/>
                <w:noProof/>
                <w:sz w:val="16"/>
                <w:szCs w:val="16"/>
              </w:rPr>
              <w:t>405)</w:t>
            </w:r>
          </w:p>
        </w:tc>
        <w:tc>
          <w:tcPr>
            <w:tcW w:w="992" w:type="dxa"/>
            <w:tcBorders>
              <w:left w:val="nil"/>
              <w:right w:val="nil"/>
            </w:tcBorders>
          </w:tcPr>
          <w:p w:rsidR="00D715D2" w:rsidRPr="00353FCF" w:rsidRDefault="00D715D2" w:rsidP="00D715D2">
            <w:pPr>
              <w:tabs>
                <w:tab w:val="left" w:pos="5245"/>
              </w:tabs>
              <w:spacing w:before="120"/>
              <w:jc w:val="right"/>
              <w:rPr>
                <w:rFonts w:ascii="Verdana" w:hAnsi="Verdana"/>
                <w:noProof/>
                <w:sz w:val="16"/>
                <w:szCs w:val="16"/>
                <w:lang w:val="en-GB"/>
              </w:rPr>
            </w:pPr>
            <w:r w:rsidRPr="00353FCF">
              <w:rPr>
                <w:rFonts w:ascii="Verdana" w:hAnsi="Verdana"/>
                <w:noProof/>
                <w:sz w:val="16"/>
                <w:szCs w:val="16"/>
                <w:lang w:val="en-GB"/>
              </w:rPr>
              <w:t>6</w:t>
            </w:r>
            <w:r>
              <w:rPr>
                <w:rFonts w:ascii="Verdana" w:hAnsi="Verdana"/>
                <w:noProof/>
                <w:sz w:val="16"/>
                <w:szCs w:val="16"/>
                <w:lang w:val="en-GB"/>
              </w:rPr>
              <w:t>,</w:t>
            </w:r>
            <w:r w:rsidRPr="00353FCF">
              <w:rPr>
                <w:rFonts w:ascii="Verdana" w:hAnsi="Verdana"/>
                <w:noProof/>
                <w:sz w:val="16"/>
                <w:szCs w:val="16"/>
                <w:lang w:val="en-GB"/>
              </w:rPr>
              <w:t>066</w:t>
            </w:r>
          </w:p>
        </w:tc>
        <w:tc>
          <w:tcPr>
            <w:tcW w:w="992" w:type="dxa"/>
            <w:tcBorders>
              <w:left w:val="nil"/>
              <w:right w:val="nil"/>
            </w:tcBorders>
          </w:tcPr>
          <w:p w:rsidR="00D715D2" w:rsidRPr="00353FCF" w:rsidRDefault="00D715D2" w:rsidP="008C2F72">
            <w:pPr>
              <w:tabs>
                <w:tab w:val="left" w:pos="5245"/>
              </w:tabs>
              <w:spacing w:before="120"/>
              <w:jc w:val="right"/>
              <w:rPr>
                <w:rFonts w:ascii="Verdana" w:hAnsi="Verdana"/>
                <w:noProof/>
                <w:sz w:val="16"/>
                <w:szCs w:val="16"/>
                <w:lang w:val="en-GB"/>
              </w:rPr>
            </w:pPr>
            <w:r w:rsidRPr="00353FCF">
              <w:rPr>
                <w:rFonts w:ascii="Verdana" w:hAnsi="Verdana"/>
                <w:noProof/>
                <w:sz w:val="16"/>
                <w:szCs w:val="16"/>
                <w:lang w:val="en-GB"/>
              </w:rPr>
              <w:t>159</w:t>
            </w:r>
          </w:p>
        </w:tc>
        <w:tc>
          <w:tcPr>
            <w:tcW w:w="992" w:type="dxa"/>
            <w:tcBorders>
              <w:left w:val="nil"/>
              <w:right w:val="nil"/>
            </w:tcBorders>
          </w:tcPr>
          <w:p w:rsidR="00D715D2" w:rsidRPr="00353FCF" w:rsidRDefault="00D715D2" w:rsidP="00D715D2">
            <w:pPr>
              <w:tabs>
                <w:tab w:val="left" w:pos="5245"/>
              </w:tabs>
              <w:spacing w:before="120"/>
              <w:jc w:val="right"/>
              <w:rPr>
                <w:rFonts w:ascii="Verdana" w:hAnsi="Verdana"/>
                <w:noProof/>
                <w:sz w:val="16"/>
                <w:szCs w:val="16"/>
                <w:lang w:val="en-GB"/>
              </w:rPr>
            </w:pPr>
            <w:r w:rsidRPr="00353FCF">
              <w:rPr>
                <w:rFonts w:ascii="Verdana" w:hAnsi="Verdana"/>
                <w:noProof/>
                <w:sz w:val="16"/>
                <w:szCs w:val="16"/>
                <w:lang w:val="en-GB"/>
              </w:rPr>
              <w:t>5</w:t>
            </w:r>
            <w:r>
              <w:rPr>
                <w:rFonts w:ascii="Verdana" w:hAnsi="Verdana"/>
                <w:noProof/>
                <w:sz w:val="16"/>
                <w:szCs w:val="16"/>
                <w:lang w:val="en-GB"/>
              </w:rPr>
              <w:t>,</w:t>
            </w:r>
            <w:r w:rsidRPr="00353FCF">
              <w:rPr>
                <w:rFonts w:ascii="Verdana" w:hAnsi="Verdana"/>
                <w:noProof/>
                <w:sz w:val="16"/>
                <w:szCs w:val="16"/>
                <w:lang w:val="en-GB"/>
              </w:rPr>
              <w:t>715</w:t>
            </w:r>
          </w:p>
        </w:tc>
        <w:tc>
          <w:tcPr>
            <w:tcW w:w="993" w:type="dxa"/>
            <w:tcBorders>
              <w:left w:val="nil"/>
              <w:right w:val="nil"/>
            </w:tcBorders>
          </w:tcPr>
          <w:p w:rsidR="00D715D2" w:rsidRPr="00353FCF" w:rsidRDefault="00D715D2" w:rsidP="00D715D2">
            <w:pPr>
              <w:tabs>
                <w:tab w:val="left" w:pos="5245"/>
              </w:tabs>
              <w:spacing w:before="120"/>
              <w:jc w:val="right"/>
              <w:rPr>
                <w:rFonts w:ascii="Verdana" w:hAnsi="Verdana"/>
                <w:noProof/>
                <w:sz w:val="16"/>
                <w:szCs w:val="16"/>
                <w:lang w:val="en-GB"/>
              </w:rPr>
            </w:pPr>
            <w:r w:rsidRPr="00353FCF">
              <w:rPr>
                <w:rFonts w:ascii="Verdana" w:hAnsi="Verdana"/>
                <w:noProof/>
                <w:sz w:val="16"/>
                <w:szCs w:val="16"/>
                <w:lang w:val="en-GB"/>
              </w:rPr>
              <w:t>7</w:t>
            </w:r>
            <w:r>
              <w:rPr>
                <w:rFonts w:ascii="Verdana" w:hAnsi="Verdana"/>
                <w:noProof/>
                <w:sz w:val="16"/>
                <w:szCs w:val="16"/>
                <w:lang w:val="en-GB"/>
              </w:rPr>
              <w:t>,</w:t>
            </w:r>
            <w:r w:rsidRPr="00353FCF">
              <w:rPr>
                <w:rFonts w:ascii="Verdana" w:hAnsi="Verdana"/>
                <w:noProof/>
                <w:sz w:val="16"/>
                <w:szCs w:val="16"/>
                <w:lang w:val="en-GB"/>
              </w:rPr>
              <w:t>984</w:t>
            </w:r>
          </w:p>
        </w:tc>
      </w:tr>
      <w:tr w:rsidR="00D715D2" w:rsidRPr="00353FCF" w:rsidTr="00DD53AC">
        <w:trPr>
          <w:trHeight w:val="285"/>
        </w:trPr>
        <w:tc>
          <w:tcPr>
            <w:tcW w:w="2709" w:type="dxa"/>
            <w:tcBorders>
              <w:left w:val="nil"/>
              <w:right w:val="nil"/>
            </w:tcBorders>
            <w:noWrap/>
            <w:vAlign w:val="bottom"/>
          </w:tcPr>
          <w:p w:rsidR="00D715D2" w:rsidRPr="00353FCF" w:rsidRDefault="00D715D2" w:rsidP="008C342C">
            <w:pPr>
              <w:tabs>
                <w:tab w:val="left" w:pos="5245"/>
              </w:tabs>
              <w:spacing w:before="120"/>
              <w:jc w:val="both"/>
              <w:rPr>
                <w:rFonts w:ascii="Verdana" w:hAnsi="Verdana"/>
                <w:noProof/>
                <w:sz w:val="16"/>
                <w:szCs w:val="16"/>
                <w:lang w:val="en-GB"/>
              </w:rPr>
            </w:pPr>
            <w:r w:rsidRPr="00353FCF">
              <w:rPr>
                <w:rFonts w:ascii="Verdana" w:hAnsi="Verdana"/>
                <w:noProof/>
                <w:sz w:val="16"/>
                <w:szCs w:val="16"/>
                <w:lang w:val="en-GB"/>
              </w:rPr>
              <w:t>Net profit as a % of sales</w:t>
            </w:r>
          </w:p>
        </w:tc>
        <w:tc>
          <w:tcPr>
            <w:tcW w:w="1134" w:type="dxa"/>
            <w:tcBorders>
              <w:left w:val="nil"/>
              <w:right w:val="nil"/>
            </w:tcBorders>
          </w:tcPr>
          <w:p w:rsidR="00D715D2" w:rsidRPr="007C7A8D" w:rsidRDefault="00D715D2" w:rsidP="00D715D2">
            <w:pPr>
              <w:tabs>
                <w:tab w:val="left" w:pos="5245"/>
              </w:tabs>
              <w:spacing w:before="120"/>
              <w:jc w:val="right"/>
              <w:rPr>
                <w:rFonts w:ascii="Verdana" w:hAnsi="Verdana"/>
                <w:noProof/>
                <w:sz w:val="16"/>
                <w:szCs w:val="16"/>
              </w:rPr>
            </w:pPr>
            <w:r w:rsidRPr="007C7A8D">
              <w:rPr>
                <w:rFonts w:ascii="Verdana" w:hAnsi="Verdana"/>
                <w:noProof/>
                <w:sz w:val="16"/>
                <w:szCs w:val="16"/>
              </w:rPr>
              <w:t>(1</w:t>
            </w:r>
            <w:r>
              <w:rPr>
                <w:rFonts w:ascii="Verdana" w:hAnsi="Verdana"/>
                <w:noProof/>
                <w:sz w:val="16"/>
                <w:szCs w:val="16"/>
              </w:rPr>
              <w:t>.</w:t>
            </w:r>
            <w:r w:rsidRPr="007C7A8D">
              <w:rPr>
                <w:rFonts w:ascii="Verdana" w:hAnsi="Verdana"/>
                <w:noProof/>
                <w:sz w:val="16"/>
                <w:szCs w:val="16"/>
              </w:rPr>
              <w:t>6%)</w:t>
            </w:r>
          </w:p>
        </w:tc>
        <w:tc>
          <w:tcPr>
            <w:tcW w:w="992" w:type="dxa"/>
            <w:tcBorders>
              <w:left w:val="nil"/>
              <w:right w:val="nil"/>
            </w:tcBorders>
          </w:tcPr>
          <w:p w:rsidR="00D715D2" w:rsidRPr="00353FCF" w:rsidRDefault="00D715D2" w:rsidP="00D715D2">
            <w:pPr>
              <w:tabs>
                <w:tab w:val="left" w:pos="5245"/>
              </w:tabs>
              <w:spacing w:before="120"/>
              <w:jc w:val="right"/>
              <w:rPr>
                <w:rFonts w:ascii="Verdana" w:hAnsi="Verdana"/>
                <w:noProof/>
                <w:sz w:val="16"/>
                <w:szCs w:val="16"/>
                <w:lang w:val="en-GB"/>
              </w:rPr>
            </w:pPr>
            <w:r w:rsidRPr="00353FCF">
              <w:rPr>
                <w:rFonts w:ascii="Verdana" w:hAnsi="Verdana"/>
                <w:noProof/>
                <w:sz w:val="16"/>
                <w:szCs w:val="16"/>
                <w:lang w:val="en-GB"/>
              </w:rPr>
              <w:t>2</w:t>
            </w:r>
            <w:r>
              <w:rPr>
                <w:rFonts w:ascii="Verdana" w:hAnsi="Verdana"/>
                <w:noProof/>
                <w:sz w:val="16"/>
                <w:szCs w:val="16"/>
                <w:lang w:val="en-GB"/>
              </w:rPr>
              <w:t>.</w:t>
            </w:r>
            <w:r w:rsidRPr="00353FCF">
              <w:rPr>
                <w:rFonts w:ascii="Verdana" w:hAnsi="Verdana"/>
                <w:noProof/>
                <w:sz w:val="16"/>
                <w:szCs w:val="16"/>
                <w:lang w:val="en-GB"/>
              </w:rPr>
              <w:t>1%</w:t>
            </w:r>
          </w:p>
        </w:tc>
        <w:tc>
          <w:tcPr>
            <w:tcW w:w="992" w:type="dxa"/>
            <w:tcBorders>
              <w:left w:val="nil"/>
              <w:right w:val="nil"/>
            </w:tcBorders>
          </w:tcPr>
          <w:p w:rsidR="00D715D2" w:rsidRPr="00353FCF" w:rsidRDefault="00D715D2" w:rsidP="00D715D2">
            <w:pPr>
              <w:tabs>
                <w:tab w:val="left" w:pos="5245"/>
              </w:tabs>
              <w:spacing w:before="120"/>
              <w:jc w:val="right"/>
              <w:rPr>
                <w:rFonts w:ascii="Verdana" w:hAnsi="Verdana"/>
                <w:noProof/>
                <w:sz w:val="16"/>
                <w:szCs w:val="16"/>
                <w:lang w:val="en-GB"/>
              </w:rPr>
            </w:pPr>
            <w:r w:rsidRPr="00353FCF">
              <w:rPr>
                <w:rFonts w:ascii="Verdana" w:hAnsi="Verdana"/>
                <w:noProof/>
                <w:sz w:val="16"/>
                <w:szCs w:val="16"/>
                <w:lang w:val="en-GB"/>
              </w:rPr>
              <w:t>0</w:t>
            </w:r>
            <w:r>
              <w:rPr>
                <w:rFonts w:ascii="Verdana" w:hAnsi="Verdana"/>
                <w:noProof/>
                <w:sz w:val="16"/>
                <w:szCs w:val="16"/>
                <w:lang w:val="en-GB"/>
              </w:rPr>
              <w:t>.</w:t>
            </w:r>
            <w:r w:rsidRPr="00353FCF">
              <w:rPr>
                <w:rFonts w:ascii="Verdana" w:hAnsi="Verdana"/>
                <w:noProof/>
                <w:sz w:val="16"/>
                <w:szCs w:val="16"/>
                <w:lang w:val="en-GB"/>
              </w:rPr>
              <w:t>1%</w:t>
            </w:r>
          </w:p>
        </w:tc>
        <w:tc>
          <w:tcPr>
            <w:tcW w:w="992" w:type="dxa"/>
            <w:tcBorders>
              <w:left w:val="nil"/>
              <w:right w:val="nil"/>
            </w:tcBorders>
          </w:tcPr>
          <w:p w:rsidR="00D715D2" w:rsidRPr="00353FCF" w:rsidRDefault="00D715D2" w:rsidP="00D715D2">
            <w:pPr>
              <w:tabs>
                <w:tab w:val="left" w:pos="5245"/>
              </w:tabs>
              <w:spacing w:before="120"/>
              <w:jc w:val="right"/>
              <w:rPr>
                <w:rFonts w:ascii="Verdana" w:hAnsi="Verdana"/>
                <w:noProof/>
                <w:sz w:val="16"/>
                <w:szCs w:val="16"/>
                <w:lang w:val="en-GB"/>
              </w:rPr>
            </w:pPr>
            <w:r w:rsidRPr="00353FCF">
              <w:rPr>
                <w:rFonts w:ascii="Verdana" w:hAnsi="Verdana"/>
                <w:noProof/>
                <w:sz w:val="16"/>
                <w:szCs w:val="16"/>
                <w:lang w:val="en-GB"/>
              </w:rPr>
              <w:t>4</w:t>
            </w:r>
            <w:r>
              <w:rPr>
                <w:rFonts w:ascii="Verdana" w:hAnsi="Verdana"/>
                <w:noProof/>
                <w:sz w:val="16"/>
                <w:szCs w:val="16"/>
                <w:lang w:val="en-GB"/>
              </w:rPr>
              <w:t>.</w:t>
            </w:r>
            <w:r w:rsidRPr="00353FCF">
              <w:rPr>
                <w:rFonts w:ascii="Verdana" w:hAnsi="Verdana"/>
                <w:noProof/>
                <w:sz w:val="16"/>
                <w:szCs w:val="16"/>
                <w:lang w:val="en-GB"/>
              </w:rPr>
              <w:t>4%</w:t>
            </w:r>
          </w:p>
        </w:tc>
        <w:tc>
          <w:tcPr>
            <w:tcW w:w="993" w:type="dxa"/>
            <w:tcBorders>
              <w:left w:val="nil"/>
              <w:right w:val="nil"/>
            </w:tcBorders>
          </w:tcPr>
          <w:p w:rsidR="00D715D2" w:rsidRPr="00353FCF" w:rsidRDefault="00D715D2" w:rsidP="00D715D2">
            <w:pPr>
              <w:tabs>
                <w:tab w:val="left" w:pos="5245"/>
              </w:tabs>
              <w:spacing w:before="120"/>
              <w:jc w:val="right"/>
              <w:rPr>
                <w:rFonts w:ascii="Verdana" w:hAnsi="Verdana"/>
                <w:noProof/>
                <w:sz w:val="16"/>
                <w:szCs w:val="16"/>
                <w:lang w:val="en-GB"/>
              </w:rPr>
            </w:pPr>
            <w:r w:rsidRPr="00353FCF">
              <w:rPr>
                <w:rFonts w:ascii="Verdana" w:hAnsi="Verdana"/>
                <w:noProof/>
                <w:sz w:val="16"/>
                <w:szCs w:val="16"/>
                <w:lang w:val="en-GB"/>
              </w:rPr>
              <w:t>7</w:t>
            </w:r>
            <w:r>
              <w:rPr>
                <w:rFonts w:ascii="Verdana" w:hAnsi="Verdana"/>
                <w:noProof/>
                <w:sz w:val="16"/>
                <w:szCs w:val="16"/>
                <w:lang w:val="en-GB"/>
              </w:rPr>
              <w:t>.</w:t>
            </w:r>
            <w:r w:rsidRPr="00353FCF">
              <w:rPr>
                <w:rFonts w:ascii="Verdana" w:hAnsi="Verdana"/>
                <w:noProof/>
                <w:sz w:val="16"/>
                <w:szCs w:val="16"/>
                <w:lang w:val="en-GB"/>
              </w:rPr>
              <w:t>1%</w:t>
            </w:r>
          </w:p>
        </w:tc>
      </w:tr>
      <w:tr w:rsidR="00D715D2" w:rsidRPr="00353FCF" w:rsidTr="00DD53AC">
        <w:trPr>
          <w:trHeight w:val="285"/>
        </w:trPr>
        <w:tc>
          <w:tcPr>
            <w:tcW w:w="2709" w:type="dxa"/>
            <w:tcBorders>
              <w:left w:val="nil"/>
              <w:right w:val="nil"/>
            </w:tcBorders>
            <w:noWrap/>
            <w:vAlign w:val="bottom"/>
          </w:tcPr>
          <w:p w:rsidR="00D715D2" w:rsidRPr="00353FCF" w:rsidRDefault="00D715D2" w:rsidP="008C342C">
            <w:pPr>
              <w:tabs>
                <w:tab w:val="left" w:pos="5245"/>
              </w:tabs>
              <w:spacing w:before="120"/>
              <w:jc w:val="both"/>
              <w:rPr>
                <w:rFonts w:ascii="Verdana" w:hAnsi="Verdana"/>
                <w:noProof/>
                <w:sz w:val="16"/>
                <w:szCs w:val="16"/>
                <w:lang w:val="en-GB"/>
              </w:rPr>
            </w:pPr>
            <w:r w:rsidRPr="00353FCF">
              <w:rPr>
                <w:rFonts w:ascii="Verdana" w:hAnsi="Verdana"/>
                <w:noProof/>
                <w:sz w:val="16"/>
                <w:szCs w:val="16"/>
                <w:lang w:val="en-GB"/>
              </w:rPr>
              <w:t>EBITDA</w:t>
            </w:r>
          </w:p>
        </w:tc>
        <w:tc>
          <w:tcPr>
            <w:tcW w:w="1134" w:type="dxa"/>
            <w:tcBorders>
              <w:left w:val="nil"/>
              <w:right w:val="nil"/>
            </w:tcBorders>
          </w:tcPr>
          <w:p w:rsidR="00D715D2" w:rsidRPr="007C7A8D" w:rsidRDefault="00D715D2" w:rsidP="00D715D2">
            <w:pPr>
              <w:tabs>
                <w:tab w:val="left" w:pos="5245"/>
              </w:tabs>
              <w:spacing w:before="120"/>
              <w:jc w:val="right"/>
              <w:rPr>
                <w:rFonts w:ascii="Verdana" w:hAnsi="Verdana"/>
                <w:noProof/>
                <w:sz w:val="16"/>
                <w:szCs w:val="16"/>
              </w:rPr>
            </w:pPr>
            <w:r w:rsidRPr="007C7A8D">
              <w:rPr>
                <w:rFonts w:ascii="Verdana" w:hAnsi="Verdana"/>
                <w:noProof/>
                <w:sz w:val="16"/>
                <w:szCs w:val="16"/>
              </w:rPr>
              <w:t>42</w:t>
            </w:r>
            <w:r>
              <w:rPr>
                <w:rFonts w:ascii="Verdana" w:hAnsi="Verdana"/>
                <w:noProof/>
                <w:sz w:val="16"/>
                <w:szCs w:val="16"/>
              </w:rPr>
              <w:t>,</w:t>
            </w:r>
            <w:r w:rsidRPr="007C7A8D">
              <w:rPr>
                <w:rFonts w:ascii="Verdana" w:hAnsi="Verdana"/>
                <w:noProof/>
                <w:sz w:val="16"/>
                <w:szCs w:val="16"/>
              </w:rPr>
              <w:t>107</w:t>
            </w:r>
          </w:p>
        </w:tc>
        <w:tc>
          <w:tcPr>
            <w:tcW w:w="992" w:type="dxa"/>
            <w:tcBorders>
              <w:left w:val="nil"/>
              <w:right w:val="nil"/>
            </w:tcBorders>
          </w:tcPr>
          <w:p w:rsidR="00D715D2" w:rsidRPr="00353FCF" w:rsidRDefault="00D715D2" w:rsidP="00D715D2">
            <w:pPr>
              <w:tabs>
                <w:tab w:val="left" w:pos="5245"/>
              </w:tabs>
              <w:spacing w:before="120"/>
              <w:jc w:val="right"/>
              <w:rPr>
                <w:rFonts w:ascii="Verdana" w:hAnsi="Verdana"/>
                <w:noProof/>
                <w:sz w:val="16"/>
                <w:szCs w:val="16"/>
                <w:lang w:val="en-GB"/>
              </w:rPr>
            </w:pPr>
            <w:r w:rsidRPr="00353FCF">
              <w:rPr>
                <w:rFonts w:ascii="Verdana" w:hAnsi="Verdana"/>
                <w:noProof/>
                <w:sz w:val="16"/>
                <w:szCs w:val="16"/>
                <w:lang w:val="en-GB"/>
              </w:rPr>
              <w:t>20</w:t>
            </w:r>
            <w:r>
              <w:rPr>
                <w:rFonts w:ascii="Verdana" w:hAnsi="Verdana"/>
                <w:noProof/>
                <w:sz w:val="16"/>
                <w:szCs w:val="16"/>
                <w:lang w:val="en-GB"/>
              </w:rPr>
              <w:t>,</w:t>
            </w:r>
            <w:r w:rsidRPr="00353FCF">
              <w:rPr>
                <w:rFonts w:ascii="Verdana" w:hAnsi="Verdana"/>
                <w:noProof/>
                <w:sz w:val="16"/>
                <w:szCs w:val="16"/>
                <w:lang w:val="en-GB"/>
              </w:rPr>
              <w:t>980</w:t>
            </w:r>
          </w:p>
        </w:tc>
        <w:tc>
          <w:tcPr>
            <w:tcW w:w="992" w:type="dxa"/>
            <w:tcBorders>
              <w:left w:val="nil"/>
              <w:right w:val="nil"/>
            </w:tcBorders>
          </w:tcPr>
          <w:p w:rsidR="00D715D2" w:rsidRPr="00353FCF" w:rsidRDefault="00D715D2" w:rsidP="00D715D2">
            <w:pPr>
              <w:tabs>
                <w:tab w:val="left" w:pos="5245"/>
              </w:tabs>
              <w:spacing w:before="120"/>
              <w:jc w:val="right"/>
              <w:rPr>
                <w:rFonts w:ascii="Verdana" w:hAnsi="Verdana"/>
                <w:noProof/>
                <w:sz w:val="16"/>
                <w:szCs w:val="16"/>
                <w:lang w:val="en-GB"/>
              </w:rPr>
            </w:pPr>
            <w:r w:rsidRPr="00353FCF">
              <w:rPr>
                <w:rFonts w:ascii="Verdana" w:hAnsi="Verdana"/>
                <w:noProof/>
                <w:sz w:val="16"/>
                <w:szCs w:val="16"/>
                <w:lang w:val="en-GB"/>
              </w:rPr>
              <w:t>15</w:t>
            </w:r>
            <w:r>
              <w:rPr>
                <w:rFonts w:ascii="Verdana" w:hAnsi="Verdana"/>
                <w:noProof/>
                <w:sz w:val="16"/>
                <w:szCs w:val="16"/>
                <w:lang w:val="en-GB"/>
              </w:rPr>
              <w:t>,</w:t>
            </w:r>
            <w:r w:rsidRPr="00353FCF">
              <w:rPr>
                <w:rFonts w:ascii="Verdana" w:hAnsi="Verdana"/>
                <w:noProof/>
                <w:sz w:val="16"/>
                <w:szCs w:val="16"/>
                <w:lang w:val="en-GB"/>
              </w:rPr>
              <w:t>679</w:t>
            </w:r>
          </w:p>
        </w:tc>
        <w:tc>
          <w:tcPr>
            <w:tcW w:w="992" w:type="dxa"/>
            <w:tcBorders>
              <w:left w:val="nil"/>
              <w:right w:val="nil"/>
            </w:tcBorders>
          </w:tcPr>
          <w:p w:rsidR="00D715D2" w:rsidRPr="00353FCF" w:rsidRDefault="00D715D2" w:rsidP="00D715D2">
            <w:pPr>
              <w:tabs>
                <w:tab w:val="left" w:pos="5245"/>
              </w:tabs>
              <w:spacing w:before="120"/>
              <w:jc w:val="right"/>
              <w:rPr>
                <w:rFonts w:ascii="Verdana" w:hAnsi="Verdana"/>
                <w:noProof/>
                <w:sz w:val="16"/>
                <w:szCs w:val="16"/>
                <w:lang w:val="en-GB"/>
              </w:rPr>
            </w:pPr>
            <w:r w:rsidRPr="00353FCF">
              <w:rPr>
                <w:rFonts w:ascii="Verdana" w:hAnsi="Verdana"/>
                <w:noProof/>
                <w:sz w:val="16"/>
                <w:szCs w:val="16"/>
                <w:lang w:val="en-GB"/>
              </w:rPr>
              <w:t>14</w:t>
            </w:r>
            <w:r>
              <w:rPr>
                <w:rFonts w:ascii="Verdana" w:hAnsi="Verdana"/>
                <w:noProof/>
                <w:sz w:val="16"/>
                <w:szCs w:val="16"/>
                <w:lang w:val="en-GB"/>
              </w:rPr>
              <w:t>,</w:t>
            </w:r>
            <w:r w:rsidRPr="00353FCF">
              <w:rPr>
                <w:rFonts w:ascii="Verdana" w:hAnsi="Verdana"/>
                <w:noProof/>
                <w:sz w:val="16"/>
                <w:szCs w:val="16"/>
                <w:lang w:val="en-GB"/>
              </w:rPr>
              <w:t>814</w:t>
            </w:r>
          </w:p>
        </w:tc>
        <w:tc>
          <w:tcPr>
            <w:tcW w:w="993" w:type="dxa"/>
            <w:tcBorders>
              <w:left w:val="nil"/>
              <w:right w:val="nil"/>
            </w:tcBorders>
          </w:tcPr>
          <w:p w:rsidR="00D715D2" w:rsidRPr="00353FCF" w:rsidRDefault="00D715D2" w:rsidP="00D715D2">
            <w:pPr>
              <w:tabs>
                <w:tab w:val="left" w:pos="5245"/>
              </w:tabs>
              <w:spacing w:before="120"/>
              <w:jc w:val="right"/>
              <w:rPr>
                <w:rFonts w:ascii="Verdana" w:hAnsi="Verdana"/>
                <w:noProof/>
                <w:sz w:val="16"/>
                <w:szCs w:val="16"/>
                <w:lang w:val="en-GB"/>
              </w:rPr>
            </w:pPr>
            <w:r w:rsidRPr="00353FCF">
              <w:rPr>
                <w:rFonts w:ascii="Verdana" w:hAnsi="Verdana"/>
                <w:noProof/>
                <w:sz w:val="16"/>
                <w:szCs w:val="16"/>
                <w:lang w:val="en-GB"/>
              </w:rPr>
              <w:t>16</w:t>
            </w:r>
            <w:r>
              <w:rPr>
                <w:rFonts w:ascii="Verdana" w:hAnsi="Verdana"/>
                <w:noProof/>
                <w:sz w:val="16"/>
                <w:szCs w:val="16"/>
                <w:lang w:val="en-GB"/>
              </w:rPr>
              <w:t>,</w:t>
            </w:r>
            <w:r w:rsidRPr="00353FCF">
              <w:rPr>
                <w:rFonts w:ascii="Verdana" w:hAnsi="Verdana"/>
                <w:noProof/>
                <w:sz w:val="16"/>
                <w:szCs w:val="16"/>
                <w:lang w:val="en-GB"/>
              </w:rPr>
              <w:t>527</w:t>
            </w:r>
          </w:p>
        </w:tc>
      </w:tr>
      <w:tr w:rsidR="00D715D2" w:rsidRPr="00353FCF" w:rsidTr="00DD53AC">
        <w:trPr>
          <w:trHeight w:val="285"/>
        </w:trPr>
        <w:tc>
          <w:tcPr>
            <w:tcW w:w="2709" w:type="dxa"/>
            <w:tcBorders>
              <w:left w:val="nil"/>
              <w:right w:val="nil"/>
            </w:tcBorders>
            <w:noWrap/>
            <w:vAlign w:val="bottom"/>
          </w:tcPr>
          <w:p w:rsidR="00D715D2" w:rsidRPr="00353FCF" w:rsidRDefault="00D715D2" w:rsidP="008C342C">
            <w:pPr>
              <w:tabs>
                <w:tab w:val="left" w:pos="5245"/>
              </w:tabs>
              <w:spacing w:before="120"/>
              <w:jc w:val="both"/>
              <w:rPr>
                <w:rFonts w:ascii="Verdana" w:hAnsi="Verdana"/>
                <w:noProof/>
                <w:sz w:val="16"/>
                <w:szCs w:val="16"/>
                <w:lang w:val="en-GB"/>
              </w:rPr>
            </w:pPr>
            <w:r w:rsidRPr="00353FCF">
              <w:rPr>
                <w:rFonts w:ascii="Verdana" w:hAnsi="Verdana"/>
                <w:noProof/>
                <w:sz w:val="16"/>
                <w:szCs w:val="16"/>
                <w:lang w:val="en-GB"/>
              </w:rPr>
              <w:t>EBITDA as a % of sales</w:t>
            </w:r>
          </w:p>
        </w:tc>
        <w:tc>
          <w:tcPr>
            <w:tcW w:w="1134" w:type="dxa"/>
            <w:tcBorders>
              <w:left w:val="nil"/>
              <w:right w:val="nil"/>
            </w:tcBorders>
          </w:tcPr>
          <w:p w:rsidR="00D715D2" w:rsidRPr="007C7A8D" w:rsidRDefault="00D715D2" w:rsidP="00D715D2">
            <w:pPr>
              <w:tabs>
                <w:tab w:val="left" w:pos="5245"/>
              </w:tabs>
              <w:spacing w:before="120"/>
              <w:jc w:val="right"/>
              <w:rPr>
                <w:rFonts w:ascii="Verdana" w:hAnsi="Verdana"/>
                <w:noProof/>
                <w:sz w:val="16"/>
                <w:szCs w:val="16"/>
              </w:rPr>
            </w:pPr>
            <w:r w:rsidRPr="007C7A8D">
              <w:rPr>
                <w:rFonts w:ascii="Verdana" w:hAnsi="Verdana"/>
                <w:noProof/>
                <w:sz w:val="16"/>
                <w:szCs w:val="16"/>
              </w:rPr>
              <w:t>7</w:t>
            </w:r>
            <w:r>
              <w:rPr>
                <w:rFonts w:ascii="Verdana" w:hAnsi="Verdana"/>
                <w:noProof/>
                <w:sz w:val="16"/>
                <w:szCs w:val="16"/>
              </w:rPr>
              <w:t>.</w:t>
            </w:r>
            <w:r w:rsidRPr="007C7A8D">
              <w:rPr>
                <w:rFonts w:ascii="Verdana" w:hAnsi="Verdana"/>
                <w:noProof/>
                <w:sz w:val="16"/>
                <w:szCs w:val="16"/>
              </w:rPr>
              <w:t>8%</w:t>
            </w:r>
          </w:p>
        </w:tc>
        <w:tc>
          <w:tcPr>
            <w:tcW w:w="992" w:type="dxa"/>
            <w:tcBorders>
              <w:left w:val="nil"/>
              <w:right w:val="nil"/>
            </w:tcBorders>
          </w:tcPr>
          <w:p w:rsidR="00D715D2" w:rsidRPr="00353FCF" w:rsidRDefault="00D715D2" w:rsidP="00D715D2">
            <w:pPr>
              <w:tabs>
                <w:tab w:val="left" w:pos="5245"/>
              </w:tabs>
              <w:spacing w:before="120"/>
              <w:jc w:val="right"/>
              <w:rPr>
                <w:rFonts w:ascii="Verdana" w:hAnsi="Verdana"/>
                <w:noProof/>
                <w:sz w:val="16"/>
                <w:szCs w:val="16"/>
                <w:lang w:val="en-GB"/>
              </w:rPr>
            </w:pPr>
            <w:r w:rsidRPr="00353FCF">
              <w:rPr>
                <w:rFonts w:ascii="Verdana" w:hAnsi="Verdana"/>
                <w:noProof/>
                <w:sz w:val="16"/>
                <w:szCs w:val="16"/>
                <w:lang w:val="en-GB"/>
              </w:rPr>
              <w:t>7</w:t>
            </w:r>
            <w:r>
              <w:rPr>
                <w:rFonts w:ascii="Verdana" w:hAnsi="Verdana"/>
                <w:noProof/>
                <w:sz w:val="16"/>
                <w:szCs w:val="16"/>
                <w:lang w:val="en-GB"/>
              </w:rPr>
              <w:t>.</w:t>
            </w:r>
            <w:r w:rsidRPr="00353FCF">
              <w:rPr>
                <w:rFonts w:ascii="Verdana" w:hAnsi="Verdana"/>
                <w:noProof/>
                <w:sz w:val="16"/>
                <w:szCs w:val="16"/>
                <w:lang w:val="en-GB"/>
              </w:rPr>
              <w:t>2%</w:t>
            </w:r>
          </w:p>
        </w:tc>
        <w:tc>
          <w:tcPr>
            <w:tcW w:w="992" w:type="dxa"/>
            <w:tcBorders>
              <w:left w:val="nil"/>
              <w:right w:val="nil"/>
            </w:tcBorders>
          </w:tcPr>
          <w:p w:rsidR="00D715D2" w:rsidRPr="00353FCF" w:rsidRDefault="00D715D2" w:rsidP="00D715D2">
            <w:pPr>
              <w:tabs>
                <w:tab w:val="left" w:pos="5245"/>
              </w:tabs>
              <w:spacing w:before="120"/>
              <w:jc w:val="right"/>
              <w:rPr>
                <w:rFonts w:ascii="Verdana" w:hAnsi="Verdana"/>
                <w:noProof/>
                <w:sz w:val="16"/>
                <w:szCs w:val="16"/>
                <w:lang w:val="en-GB"/>
              </w:rPr>
            </w:pPr>
            <w:r w:rsidRPr="00353FCF">
              <w:rPr>
                <w:rFonts w:ascii="Verdana" w:hAnsi="Verdana"/>
                <w:noProof/>
                <w:sz w:val="16"/>
                <w:szCs w:val="16"/>
                <w:lang w:val="en-GB"/>
              </w:rPr>
              <w:t>7</w:t>
            </w:r>
            <w:r>
              <w:rPr>
                <w:rFonts w:ascii="Verdana" w:hAnsi="Verdana"/>
                <w:noProof/>
                <w:sz w:val="16"/>
                <w:szCs w:val="16"/>
                <w:lang w:val="en-GB"/>
              </w:rPr>
              <w:t>.</w:t>
            </w:r>
            <w:r w:rsidRPr="00353FCF">
              <w:rPr>
                <w:rFonts w:ascii="Verdana" w:hAnsi="Verdana"/>
                <w:noProof/>
                <w:sz w:val="16"/>
                <w:szCs w:val="16"/>
                <w:lang w:val="en-GB"/>
              </w:rPr>
              <w:t>5%</w:t>
            </w:r>
          </w:p>
        </w:tc>
        <w:tc>
          <w:tcPr>
            <w:tcW w:w="992" w:type="dxa"/>
            <w:tcBorders>
              <w:left w:val="nil"/>
              <w:right w:val="nil"/>
            </w:tcBorders>
          </w:tcPr>
          <w:p w:rsidR="00D715D2" w:rsidRPr="00353FCF" w:rsidRDefault="00D715D2" w:rsidP="00D715D2">
            <w:pPr>
              <w:tabs>
                <w:tab w:val="left" w:pos="5245"/>
              </w:tabs>
              <w:spacing w:before="120"/>
              <w:jc w:val="right"/>
              <w:rPr>
                <w:rFonts w:ascii="Verdana" w:hAnsi="Verdana"/>
                <w:noProof/>
                <w:sz w:val="16"/>
                <w:szCs w:val="16"/>
                <w:lang w:val="en-GB"/>
              </w:rPr>
            </w:pPr>
            <w:r w:rsidRPr="00353FCF">
              <w:rPr>
                <w:rFonts w:ascii="Verdana" w:hAnsi="Verdana"/>
                <w:noProof/>
                <w:sz w:val="16"/>
                <w:szCs w:val="16"/>
                <w:lang w:val="en-GB"/>
              </w:rPr>
              <w:t>11</w:t>
            </w:r>
            <w:r>
              <w:rPr>
                <w:rFonts w:ascii="Verdana" w:hAnsi="Verdana"/>
                <w:noProof/>
                <w:sz w:val="16"/>
                <w:szCs w:val="16"/>
                <w:lang w:val="en-GB"/>
              </w:rPr>
              <w:t>.</w:t>
            </w:r>
            <w:r w:rsidRPr="00353FCF">
              <w:rPr>
                <w:rFonts w:ascii="Verdana" w:hAnsi="Verdana"/>
                <w:noProof/>
                <w:sz w:val="16"/>
                <w:szCs w:val="16"/>
                <w:lang w:val="en-GB"/>
              </w:rPr>
              <w:t>5%</w:t>
            </w:r>
          </w:p>
        </w:tc>
        <w:tc>
          <w:tcPr>
            <w:tcW w:w="993" w:type="dxa"/>
            <w:tcBorders>
              <w:left w:val="nil"/>
              <w:right w:val="nil"/>
            </w:tcBorders>
          </w:tcPr>
          <w:p w:rsidR="00D715D2" w:rsidRPr="00353FCF" w:rsidRDefault="00D715D2" w:rsidP="00D715D2">
            <w:pPr>
              <w:tabs>
                <w:tab w:val="left" w:pos="5245"/>
              </w:tabs>
              <w:spacing w:before="120"/>
              <w:jc w:val="right"/>
              <w:rPr>
                <w:rFonts w:ascii="Verdana" w:hAnsi="Verdana"/>
                <w:noProof/>
                <w:sz w:val="16"/>
                <w:szCs w:val="16"/>
                <w:lang w:val="en-GB"/>
              </w:rPr>
            </w:pPr>
            <w:r w:rsidRPr="00353FCF">
              <w:rPr>
                <w:rFonts w:ascii="Verdana" w:hAnsi="Verdana"/>
                <w:noProof/>
                <w:sz w:val="16"/>
                <w:szCs w:val="16"/>
                <w:lang w:val="en-GB"/>
              </w:rPr>
              <w:t>14</w:t>
            </w:r>
            <w:r>
              <w:rPr>
                <w:rFonts w:ascii="Verdana" w:hAnsi="Verdana"/>
                <w:noProof/>
                <w:sz w:val="16"/>
                <w:szCs w:val="16"/>
                <w:lang w:val="en-GB"/>
              </w:rPr>
              <w:t>.</w:t>
            </w:r>
            <w:r w:rsidRPr="00353FCF">
              <w:rPr>
                <w:rFonts w:ascii="Verdana" w:hAnsi="Verdana"/>
                <w:noProof/>
                <w:sz w:val="16"/>
                <w:szCs w:val="16"/>
                <w:lang w:val="en-GB"/>
              </w:rPr>
              <w:t>7%</w:t>
            </w:r>
          </w:p>
        </w:tc>
      </w:tr>
      <w:tr w:rsidR="00D715D2" w:rsidRPr="00353FCF" w:rsidTr="00DD53AC">
        <w:trPr>
          <w:trHeight w:val="285"/>
        </w:trPr>
        <w:tc>
          <w:tcPr>
            <w:tcW w:w="2709" w:type="dxa"/>
            <w:tcBorders>
              <w:left w:val="nil"/>
              <w:right w:val="nil"/>
            </w:tcBorders>
            <w:noWrap/>
            <w:vAlign w:val="bottom"/>
          </w:tcPr>
          <w:p w:rsidR="00D715D2" w:rsidRPr="00353FCF" w:rsidRDefault="00D715D2" w:rsidP="008C342C">
            <w:pPr>
              <w:tabs>
                <w:tab w:val="left" w:pos="5245"/>
              </w:tabs>
              <w:spacing w:before="120"/>
              <w:jc w:val="both"/>
              <w:rPr>
                <w:rFonts w:ascii="Verdana" w:hAnsi="Verdana"/>
                <w:noProof/>
                <w:sz w:val="16"/>
                <w:szCs w:val="16"/>
                <w:lang w:val="en-GB"/>
              </w:rPr>
            </w:pPr>
          </w:p>
        </w:tc>
        <w:tc>
          <w:tcPr>
            <w:tcW w:w="1134" w:type="dxa"/>
            <w:tcBorders>
              <w:left w:val="nil"/>
              <w:right w:val="nil"/>
            </w:tcBorders>
          </w:tcPr>
          <w:p w:rsidR="00D715D2" w:rsidRPr="007C7A8D" w:rsidRDefault="00D715D2" w:rsidP="006B537B">
            <w:pPr>
              <w:tabs>
                <w:tab w:val="left" w:pos="5245"/>
              </w:tabs>
              <w:spacing w:before="120"/>
              <w:jc w:val="right"/>
              <w:rPr>
                <w:rFonts w:ascii="Verdana" w:hAnsi="Verdana"/>
                <w:noProof/>
                <w:sz w:val="16"/>
                <w:szCs w:val="16"/>
              </w:rPr>
            </w:pPr>
          </w:p>
        </w:tc>
        <w:tc>
          <w:tcPr>
            <w:tcW w:w="992" w:type="dxa"/>
            <w:tcBorders>
              <w:left w:val="nil"/>
              <w:right w:val="nil"/>
            </w:tcBorders>
          </w:tcPr>
          <w:p w:rsidR="00D715D2" w:rsidRPr="00353FCF" w:rsidRDefault="00D715D2" w:rsidP="008C2F72">
            <w:pPr>
              <w:tabs>
                <w:tab w:val="left" w:pos="5245"/>
              </w:tabs>
              <w:spacing w:before="120"/>
              <w:jc w:val="right"/>
              <w:rPr>
                <w:rFonts w:ascii="Verdana" w:hAnsi="Verdana"/>
                <w:noProof/>
                <w:sz w:val="16"/>
                <w:szCs w:val="16"/>
                <w:lang w:val="en-GB"/>
              </w:rPr>
            </w:pPr>
          </w:p>
        </w:tc>
        <w:tc>
          <w:tcPr>
            <w:tcW w:w="992" w:type="dxa"/>
            <w:tcBorders>
              <w:left w:val="nil"/>
              <w:right w:val="nil"/>
            </w:tcBorders>
          </w:tcPr>
          <w:p w:rsidR="00D715D2" w:rsidRPr="00353FCF" w:rsidRDefault="00D715D2" w:rsidP="008C2F72">
            <w:pPr>
              <w:tabs>
                <w:tab w:val="left" w:pos="5245"/>
              </w:tabs>
              <w:spacing w:before="120"/>
              <w:jc w:val="right"/>
              <w:rPr>
                <w:rFonts w:ascii="Verdana" w:hAnsi="Verdana"/>
                <w:noProof/>
                <w:sz w:val="16"/>
                <w:szCs w:val="16"/>
                <w:lang w:val="en-GB"/>
              </w:rPr>
            </w:pPr>
          </w:p>
        </w:tc>
        <w:tc>
          <w:tcPr>
            <w:tcW w:w="992" w:type="dxa"/>
            <w:tcBorders>
              <w:left w:val="nil"/>
              <w:right w:val="nil"/>
            </w:tcBorders>
          </w:tcPr>
          <w:p w:rsidR="00D715D2" w:rsidRPr="00353FCF" w:rsidRDefault="00D715D2" w:rsidP="008C2F72">
            <w:pPr>
              <w:tabs>
                <w:tab w:val="left" w:pos="5245"/>
              </w:tabs>
              <w:spacing w:before="120"/>
              <w:jc w:val="right"/>
              <w:rPr>
                <w:rFonts w:ascii="Verdana" w:hAnsi="Verdana"/>
                <w:noProof/>
                <w:sz w:val="16"/>
                <w:szCs w:val="16"/>
                <w:lang w:val="en-GB"/>
              </w:rPr>
            </w:pPr>
          </w:p>
        </w:tc>
        <w:tc>
          <w:tcPr>
            <w:tcW w:w="993" w:type="dxa"/>
            <w:tcBorders>
              <w:left w:val="nil"/>
              <w:right w:val="nil"/>
            </w:tcBorders>
          </w:tcPr>
          <w:p w:rsidR="00D715D2" w:rsidRPr="00353FCF" w:rsidRDefault="00D715D2" w:rsidP="008C2F72">
            <w:pPr>
              <w:tabs>
                <w:tab w:val="left" w:pos="5245"/>
              </w:tabs>
              <w:spacing w:before="120"/>
              <w:jc w:val="right"/>
              <w:rPr>
                <w:rFonts w:ascii="Verdana" w:hAnsi="Verdana"/>
                <w:noProof/>
                <w:sz w:val="16"/>
                <w:szCs w:val="16"/>
                <w:lang w:val="en-GB"/>
              </w:rPr>
            </w:pPr>
          </w:p>
        </w:tc>
      </w:tr>
      <w:tr w:rsidR="00D715D2" w:rsidRPr="00353FCF" w:rsidTr="00DD53AC">
        <w:trPr>
          <w:trHeight w:val="285"/>
        </w:trPr>
        <w:tc>
          <w:tcPr>
            <w:tcW w:w="2709" w:type="dxa"/>
            <w:tcBorders>
              <w:left w:val="nil"/>
              <w:right w:val="nil"/>
            </w:tcBorders>
            <w:noWrap/>
            <w:vAlign w:val="bottom"/>
          </w:tcPr>
          <w:p w:rsidR="00D715D2" w:rsidRPr="00353FCF" w:rsidRDefault="00D715D2" w:rsidP="008C342C">
            <w:pPr>
              <w:tabs>
                <w:tab w:val="left" w:pos="5245"/>
              </w:tabs>
              <w:spacing w:before="120"/>
              <w:jc w:val="both"/>
              <w:rPr>
                <w:rFonts w:ascii="Verdana" w:hAnsi="Verdana"/>
                <w:noProof/>
                <w:sz w:val="16"/>
                <w:szCs w:val="16"/>
                <w:lang w:val="en-GB"/>
              </w:rPr>
            </w:pPr>
            <w:r w:rsidRPr="00353FCF">
              <w:rPr>
                <w:rFonts w:ascii="Verdana" w:hAnsi="Verdana"/>
                <w:noProof/>
                <w:sz w:val="16"/>
                <w:szCs w:val="16"/>
                <w:lang w:val="en-GB"/>
              </w:rPr>
              <w:t>Total assets at end of period</w:t>
            </w:r>
          </w:p>
        </w:tc>
        <w:tc>
          <w:tcPr>
            <w:tcW w:w="1134" w:type="dxa"/>
            <w:tcBorders>
              <w:left w:val="nil"/>
              <w:right w:val="nil"/>
            </w:tcBorders>
          </w:tcPr>
          <w:p w:rsidR="00D715D2" w:rsidRPr="007C7A8D" w:rsidRDefault="00D715D2" w:rsidP="00726CCE">
            <w:pPr>
              <w:tabs>
                <w:tab w:val="left" w:pos="5245"/>
              </w:tabs>
              <w:spacing w:before="120"/>
              <w:jc w:val="right"/>
              <w:rPr>
                <w:rFonts w:ascii="Verdana" w:hAnsi="Verdana"/>
                <w:noProof/>
                <w:sz w:val="16"/>
                <w:szCs w:val="16"/>
              </w:rPr>
            </w:pPr>
            <w:r w:rsidRPr="007C7A8D">
              <w:rPr>
                <w:rFonts w:ascii="Verdana" w:hAnsi="Verdana"/>
                <w:noProof/>
                <w:sz w:val="16"/>
                <w:szCs w:val="16"/>
              </w:rPr>
              <w:t>923</w:t>
            </w:r>
            <w:r>
              <w:rPr>
                <w:rFonts w:ascii="Verdana" w:hAnsi="Verdana"/>
                <w:noProof/>
                <w:sz w:val="16"/>
                <w:szCs w:val="16"/>
              </w:rPr>
              <w:t>,</w:t>
            </w:r>
            <w:r w:rsidR="00726CCE">
              <w:rPr>
                <w:rFonts w:ascii="Verdana" w:hAnsi="Verdana"/>
                <w:noProof/>
                <w:sz w:val="16"/>
                <w:szCs w:val="16"/>
              </w:rPr>
              <w:t>712</w:t>
            </w:r>
          </w:p>
        </w:tc>
        <w:tc>
          <w:tcPr>
            <w:tcW w:w="992" w:type="dxa"/>
            <w:tcBorders>
              <w:left w:val="nil"/>
              <w:right w:val="nil"/>
            </w:tcBorders>
          </w:tcPr>
          <w:p w:rsidR="00D715D2" w:rsidRPr="00353FCF" w:rsidRDefault="00D715D2" w:rsidP="00D715D2">
            <w:pPr>
              <w:tabs>
                <w:tab w:val="left" w:pos="5245"/>
              </w:tabs>
              <w:spacing w:before="120"/>
              <w:jc w:val="right"/>
              <w:rPr>
                <w:rFonts w:ascii="Verdana" w:hAnsi="Verdana"/>
                <w:noProof/>
                <w:sz w:val="16"/>
                <w:szCs w:val="16"/>
                <w:lang w:val="en-GB"/>
              </w:rPr>
            </w:pPr>
            <w:r w:rsidRPr="00353FCF">
              <w:rPr>
                <w:rFonts w:ascii="Verdana" w:hAnsi="Verdana"/>
                <w:noProof/>
                <w:sz w:val="16"/>
                <w:szCs w:val="16"/>
                <w:lang w:val="en-GB"/>
              </w:rPr>
              <w:t>427</w:t>
            </w:r>
            <w:r>
              <w:rPr>
                <w:rFonts w:ascii="Verdana" w:hAnsi="Verdana"/>
                <w:noProof/>
                <w:sz w:val="16"/>
                <w:szCs w:val="16"/>
                <w:lang w:val="en-GB"/>
              </w:rPr>
              <w:t>,</w:t>
            </w:r>
            <w:r w:rsidRPr="00353FCF">
              <w:rPr>
                <w:rFonts w:ascii="Verdana" w:hAnsi="Verdana"/>
                <w:noProof/>
                <w:sz w:val="16"/>
                <w:szCs w:val="16"/>
                <w:lang w:val="en-GB"/>
              </w:rPr>
              <w:t>304</w:t>
            </w:r>
          </w:p>
        </w:tc>
        <w:tc>
          <w:tcPr>
            <w:tcW w:w="992" w:type="dxa"/>
            <w:tcBorders>
              <w:left w:val="nil"/>
              <w:right w:val="nil"/>
            </w:tcBorders>
          </w:tcPr>
          <w:p w:rsidR="00D715D2" w:rsidRPr="00353FCF" w:rsidRDefault="00D715D2" w:rsidP="00D715D2">
            <w:pPr>
              <w:tabs>
                <w:tab w:val="left" w:pos="5245"/>
              </w:tabs>
              <w:spacing w:before="120"/>
              <w:jc w:val="right"/>
              <w:rPr>
                <w:rFonts w:ascii="Verdana" w:hAnsi="Verdana"/>
                <w:noProof/>
                <w:sz w:val="16"/>
                <w:szCs w:val="16"/>
                <w:lang w:val="en-GB"/>
              </w:rPr>
            </w:pPr>
            <w:r w:rsidRPr="00353FCF">
              <w:rPr>
                <w:rFonts w:ascii="Verdana" w:hAnsi="Verdana"/>
                <w:noProof/>
                <w:sz w:val="16"/>
                <w:szCs w:val="16"/>
                <w:lang w:val="en-GB"/>
              </w:rPr>
              <w:t>364</w:t>
            </w:r>
            <w:r>
              <w:rPr>
                <w:rFonts w:ascii="Verdana" w:hAnsi="Verdana"/>
                <w:noProof/>
                <w:sz w:val="16"/>
                <w:szCs w:val="16"/>
                <w:lang w:val="en-GB"/>
              </w:rPr>
              <w:t>,</w:t>
            </w:r>
            <w:r w:rsidRPr="00353FCF">
              <w:rPr>
                <w:rFonts w:ascii="Verdana" w:hAnsi="Verdana"/>
                <w:noProof/>
                <w:sz w:val="16"/>
                <w:szCs w:val="16"/>
                <w:lang w:val="en-GB"/>
              </w:rPr>
              <w:t>793</w:t>
            </w:r>
          </w:p>
        </w:tc>
        <w:tc>
          <w:tcPr>
            <w:tcW w:w="992" w:type="dxa"/>
            <w:tcBorders>
              <w:left w:val="nil"/>
              <w:right w:val="nil"/>
            </w:tcBorders>
          </w:tcPr>
          <w:p w:rsidR="00D715D2" w:rsidRPr="00353FCF" w:rsidRDefault="00D715D2" w:rsidP="00D715D2">
            <w:pPr>
              <w:tabs>
                <w:tab w:val="left" w:pos="5245"/>
              </w:tabs>
              <w:spacing w:before="120"/>
              <w:jc w:val="right"/>
              <w:rPr>
                <w:rFonts w:ascii="Verdana" w:hAnsi="Verdana"/>
                <w:noProof/>
                <w:sz w:val="16"/>
                <w:szCs w:val="16"/>
                <w:lang w:val="en-GB"/>
              </w:rPr>
            </w:pPr>
            <w:r w:rsidRPr="00353FCF">
              <w:rPr>
                <w:rFonts w:ascii="Verdana" w:hAnsi="Verdana"/>
                <w:noProof/>
                <w:sz w:val="16"/>
                <w:szCs w:val="16"/>
                <w:lang w:val="en-GB"/>
              </w:rPr>
              <w:t>114</w:t>
            </w:r>
            <w:r>
              <w:rPr>
                <w:rFonts w:ascii="Verdana" w:hAnsi="Verdana"/>
                <w:noProof/>
                <w:sz w:val="16"/>
                <w:szCs w:val="16"/>
                <w:lang w:val="en-GB"/>
              </w:rPr>
              <w:t>,</w:t>
            </w:r>
            <w:r w:rsidRPr="00353FCF">
              <w:rPr>
                <w:rFonts w:ascii="Verdana" w:hAnsi="Verdana"/>
                <w:noProof/>
                <w:sz w:val="16"/>
                <w:szCs w:val="16"/>
                <w:lang w:val="en-GB"/>
              </w:rPr>
              <w:t>890</w:t>
            </w:r>
          </w:p>
        </w:tc>
        <w:tc>
          <w:tcPr>
            <w:tcW w:w="993" w:type="dxa"/>
            <w:tcBorders>
              <w:left w:val="nil"/>
              <w:right w:val="nil"/>
            </w:tcBorders>
          </w:tcPr>
          <w:p w:rsidR="00D715D2" w:rsidRPr="00353FCF" w:rsidRDefault="00D715D2" w:rsidP="00D715D2">
            <w:pPr>
              <w:tabs>
                <w:tab w:val="left" w:pos="5245"/>
              </w:tabs>
              <w:spacing w:before="120"/>
              <w:jc w:val="right"/>
              <w:rPr>
                <w:rFonts w:ascii="Verdana" w:hAnsi="Verdana"/>
                <w:noProof/>
                <w:sz w:val="16"/>
                <w:szCs w:val="16"/>
                <w:lang w:val="en-GB"/>
              </w:rPr>
            </w:pPr>
            <w:r w:rsidRPr="00353FCF">
              <w:rPr>
                <w:rFonts w:ascii="Verdana" w:hAnsi="Verdana"/>
                <w:noProof/>
                <w:sz w:val="16"/>
                <w:szCs w:val="16"/>
                <w:lang w:val="en-GB"/>
              </w:rPr>
              <w:t>95</w:t>
            </w:r>
            <w:r>
              <w:rPr>
                <w:rFonts w:ascii="Verdana" w:hAnsi="Verdana"/>
                <w:noProof/>
                <w:sz w:val="16"/>
                <w:szCs w:val="16"/>
                <w:lang w:val="en-GB"/>
              </w:rPr>
              <w:t>,</w:t>
            </w:r>
            <w:r w:rsidRPr="00353FCF">
              <w:rPr>
                <w:rFonts w:ascii="Verdana" w:hAnsi="Verdana"/>
                <w:noProof/>
                <w:sz w:val="16"/>
                <w:szCs w:val="16"/>
                <w:lang w:val="en-GB"/>
              </w:rPr>
              <w:t>482</w:t>
            </w:r>
          </w:p>
        </w:tc>
      </w:tr>
      <w:tr w:rsidR="00D715D2" w:rsidRPr="00353FCF" w:rsidTr="00DD53AC">
        <w:trPr>
          <w:trHeight w:val="285"/>
        </w:trPr>
        <w:tc>
          <w:tcPr>
            <w:tcW w:w="2709" w:type="dxa"/>
            <w:tcBorders>
              <w:left w:val="nil"/>
              <w:right w:val="nil"/>
            </w:tcBorders>
            <w:noWrap/>
            <w:vAlign w:val="bottom"/>
          </w:tcPr>
          <w:p w:rsidR="00D715D2" w:rsidRPr="00353FCF" w:rsidRDefault="00D715D2" w:rsidP="008C342C">
            <w:pPr>
              <w:tabs>
                <w:tab w:val="left" w:pos="5245"/>
              </w:tabs>
              <w:spacing w:before="120"/>
              <w:jc w:val="both"/>
              <w:rPr>
                <w:rFonts w:ascii="Verdana" w:hAnsi="Verdana"/>
                <w:noProof/>
                <w:sz w:val="16"/>
                <w:szCs w:val="16"/>
                <w:lang w:val="en-GB"/>
              </w:rPr>
            </w:pPr>
            <w:r w:rsidRPr="00353FCF">
              <w:rPr>
                <w:rFonts w:ascii="Verdana" w:hAnsi="Verdana"/>
                <w:noProof/>
                <w:sz w:val="16"/>
                <w:szCs w:val="16"/>
                <w:lang w:val="en-GB"/>
              </w:rPr>
              <w:t>Equity at end of period</w:t>
            </w:r>
          </w:p>
        </w:tc>
        <w:tc>
          <w:tcPr>
            <w:tcW w:w="1134" w:type="dxa"/>
            <w:tcBorders>
              <w:left w:val="nil"/>
              <w:right w:val="nil"/>
            </w:tcBorders>
          </w:tcPr>
          <w:p w:rsidR="00D715D2" w:rsidRPr="007C7A8D" w:rsidRDefault="00D715D2" w:rsidP="00726CCE">
            <w:pPr>
              <w:tabs>
                <w:tab w:val="left" w:pos="5245"/>
              </w:tabs>
              <w:spacing w:before="120"/>
              <w:jc w:val="right"/>
              <w:rPr>
                <w:rFonts w:ascii="Verdana" w:hAnsi="Verdana"/>
                <w:noProof/>
                <w:sz w:val="16"/>
                <w:szCs w:val="16"/>
              </w:rPr>
            </w:pPr>
            <w:r w:rsidRPr="007C7A8D">
              <w:rPr>
                <w:rFonts w:ascii="Verdana" w:hAnsi="Verdana"/>
                <w:noProof/>
                <w:sz w:val="16"/>
                <w:szCs w:val="16"/>
              </w:rPr>
              <w:t>286</w:t>
            </w:r>
            <w:r>
              <w:rPr>
                <w:rFonts w:ascii="Verdana" w:hAnsi="Verdana"/>
                <w:noProof/>
                <w:sz w:val="16"/>
                <w:szCs w:val="16"/>
              </w:rPr>
              <w:t>,</w:t>
            </w:r>
            <w:r w:rsidR="00726CCE">
              <w:rPr>
                <w:rFonts w:ascii="Verdana" w:hAnsi="Verdana"/>
                <w:noProof/>
                <w:sz w:val="16"/>
                <w:szCs w:val="16"/>
              </w:rPr>
              <w:t>825</w:t>
            </w:r>
          </w:p>
        </w:tc>
        <w:tc>
          <w:tcPr>
            <w:tcW w:w="992" w:type="dxa"/>
            <w:tcBorders>
              <w:left w:val="nil"/>
              <w:right w:val="nil"/>
            </w:tcBorders>
          </w:tcPr>
          <w:p w:rsidR="00D715D2" w:rsidRPr="00353FCF" w:rsidRDefault="00D715D2" w:rsidP="00D715D2">
            <w:pPr>
              <w:tabs>
                <w:tab w:val="left" w:pos="5245"/>
              </w:tabs>
              <w:spacing w:before="120"/>
              <w:jc w:val="right"/>
              <w:rPr>
                <w:rFonts w:ascii="Verdana" w:hAnsi="Verdana"/>
                <w:noProof/>
                <w:sz w:val="16"/>
                <w:szCs w:val="16"/>
                <w:lang w:val="en-GB"/>
              </w:rPr>
            </w:pPr>
            <w:r w:rsidRPr="00353FCF">
              <w:rPr>
                <w:rFonts w:ascii="Verdana" w:hAnsi="Verdana"/>
                <w:noProof/>
                <w:sz w:val="16"/>
                <w:szCs w:val="16"/>
                <w:lang w:val="en-GB"/>
              </w:rPr>
              <w:t>181</w:t>
            </w:r>
            <w:r>
              <w:rPr>
                <w:rFonts w:ascii="Verdana" w:hAnsi="Verdana"/>
                <w:noProof/>
                <w:sz w:val="16"/>
                <w:szCs w:val="16"/>
                <w:lang w:val="en-GB"/>
              </w:rPr>
              <w:t>,</w:t>
            </w:r>
            <w:r w:rsidRPr="00353FCF">
              <w:rPr>
                <w:rFonts w:ascii="Verdana" w:hAnsi="Verdana"/>
                <w:noProof/>
                <w:sz w:val="16"/>
                <w:szCs w:val="16"/>
                <w:lang w:val="en-GB"/>
              </w:rPr>
              <w:t>835</w:t>
            </w:r>
          </w:p>
        </w:tc>
        <w:tc>
          <w:tcPr>
            <w:tcW w:w="992" w:type="dxa"/>
            <w:tcBorders>
              <w:left w:val="nil"/>
              <w:right w:val="nil"/>
            </w:tcBorders>
          </w:tcPr>
          <w:p w:rsidR="00D715D2" w:rsidRPr="00353FCF" w:rsidRDefault="00D715D2" w:rsidP="00D715D2">
            <w:pPr>
              <w:tabs>
                <w:tab w:val="left" w:pos="5245"/>
              </w:tabs>
              <w:spacing w:before="120"/>
              <w:jc w:val="right"/>
              <w:rPr>
                <w:rFonts w:ascii="Verdana" w:hAnsi="Verdana"/>
                <w:noProof/>
                <w:sz w:val="16"/>
                <w:szCs w:val="16"/>
                <w:lang w:val="en-GB"/>
              </w:rPr>
            </w:pPr>
            <w:r w:rsidRPr="00353FCF">
              <w:rPr>
                <w:rFonts w:ascii="Verdana" w:hAnsi="Verdana"/>
                <w:noProof/>
                <w:sz w:val="16"/>
                <w:szCs w:val="16"/>
                <w:lang w:val="en-GB"/>
              </w:rPr>
              <w:t>144</w:t>
            </w:r>
            <w:r>
              <w:rPr>
                <w:rFonts w:ascii="Verdana" w:hAnsi="Verdana"/>
                <w:noProof/>
                <w:sz w:val="16"/>
                <w:szCs w:val="16"/>
                <w:lang w:val="en-GB"/>
              </w:rPr>
              <w:t>,</w:t>
            </w:r>
            <w:r w:rsidRPr="00353FCF">
              <w:rPr>
                <w:rFonts w:ascii="Verdana" w:hAnsi="Verdana"/>
                <w:noProof/>
                <w:sz w:val="16"/>
                <w:szCs w:val="16"/>
                <w:lang w:val="en-GB"/>
              </w:rPr>
              <w:t>423</w:t>
            </w:r>
          </w:p>
        </w:tc>
        <w:tc>
          <w:tcPr>
            <w:tcW w:w="992" w:type="dxa"/>
            <w:tcBorders>
              <w:left w:val="nil"/>
              <w:right w:val="nil"/>
            </w:tcBorders>
          </w:tcPr>
          <w:p w:rsidR="00D715D2" w:rsidRPr="00353FCF" w:rsidRDefault="00D715D2" w:rsidP="00D715D2">
            <w:pPr>
              <w:tabs>
                <w:tab w:val="left" w:pos="5245"/>
              </w:tabs>
              <w:spacing w:before="120"/>
              <w:jc w:val="right"/>
              <w:rPr>
                <w:rFonts w:ascii="Verdana" w:hAnsi="Verdana"/>
                <w:noProof/>
                <w:sz w:val="16"/>
                <w:szCs w:val="16"/>
                <w:lang w:val="en-GB"/>
              </w:rPr>
            </w:pPr>
            <w:r w:rsidRPr="00353FCF">
              <w:rPr>
                <w:rFonts w:ascii="Verdana" w:hAnsi="Verdana"/>
                <w:noProof/>
                <w:sz w:val="16"/>
                <w:szCs w:val="16"/>
                <w:lang w:val="en-GB"/>
              </w:rPr>
              <w:t>41</w:t>
            </w:r>
            <w:r>
              <w:rPr>
                <w:rFonts w:ascii="Verdana" w:hAnsi="Verdana"/>
                <w:noProof/>
                <w:sz w:val="16"/>
                <w:szCs w:val="16"/>
                <w:lang w:val="en-GB"/>
              </w:rPr>
              <w:t>,</w:t>
            </w:r>
            <w:r w:rsidRPr="00353FCF">
              <w:rPr>
                <w:rFonts w:ascii="Verdana" w:hAnsi="Verdana"/>
                <w:noProof/>
                <w:sz w:val="16"/>
                <w:szCs w:val="16"/>
                <w:lang w:val="en-GB"/>
              </w:rPr>
              <w:t>032</w:t>
            </w:r>
          </w:p>
        </w:tc>
        <w:tc>
          <w:tcPr>
            <w:tcW w:w="993" w:type="dxa"/>
            <w:tcBorders>
              <w:left w:val="nil"/>
              <w:right w:val="nil"/>
            </w:tcBorders>
          </w:tcPr>
          <w:p w:rsidR="00D715D2" w:rsidRPr="00353FCF" w:rsidRDefault="00D715D2" w:rsidP="00D715D2">
            <w:pPr>
              <w:tabs>
                <w:tab w:val="left" w:pos="5245"/>
              </w:tabs>
              <w:spacing w:before="120"/>
              <w:jc w:val="right"/>
              <w:rPr>
                <w:rFonts w:ascii="Verdana" w:hAnsi="Verdana"/>
                <w:noProof/>
                <w:sz w:val="16"/>
                <w:szCs w:val="16"/>
                <w:lang w:val="en-GB"/>
              </w:rPr>
            </w:pPr>
            <w:r w:rsidRPr="00353FCF">
              <w:rPr>
                <w:rFonts w:ascii="Verdana" w:hAnsi="Verdana"/>
                <w:noProof/>
                <w:sz w:val="16"/>
                <w:szCs w:val="16"/>
                <w:lang w:val="en-GB"/>
              </w:rPr>
              <w:t>31</w:t>
            </w:r>
            <w:r>
              <w:rPr>
                <w:rFonts w:ascii="Verdana" w:hAnsi="Verdana"/>
                <w:noProof/>
                <w:sz w:val="16"/>
                <w:szCs w:val="16"/>
                <w:lang w:val="en-GB"/>
              </w:rPr>
              <w:t>,</w:t>
            </w:r>
            <w:r w:rsidRPr="00353FCF">
              <w:rPr>
                <w:rFonts w:ascii="Verdana" w:hAnsi="Verdana"/>
                <w:noProof/>
                <w:sz w:val="16"/>
                <w:szCs w:val="16"/>
                <w:lang w:val="en-GB"/>
              </w:rPr>
              <w:t>595</w:t>
            </w:r>
          </w:p>
        </w:tc>
      </w:tr>
      <w:tr w:rsidR="00D715D2" w:rsidRPr="00353FCF" w:rsidTr="00DD53AC">
        <w:trPr>
          <w:trHeight w:val="285"/>
        </w:trPr>
        <w:tc>
          <w:tcPr>
            <w:tcW w:w="2709" w:type="dxa"/>
            <w:tcBorders>
              <w:left w:val="nil"/>
              <w:right w:val="nil"/>
            </w:tcBorders>
            <w:noWrap/>
            <w:vAlign w:val="bottom"/>
          </w:tcPr>
          <w:p w:rsidR="00D715D2" w:rsidRPr="00353FCF" w:rsidRDefault="00D715D2" w:rsidP="008C342C">
            <w:pPr>
              <w:tabs>
                <w:tab w:val="left" w:pos="5245"/>
              </w:tabs>
              <w:spacing w:before="120"/>
              <w:rPr>
                <w:rFonts w:ascii="Verdana" w:hAnsi="Verdana"/>
                <w:noProof/>
                <w:sz w:val="16"/>
                <w:szCs w:val="16"/>
                <w:lang w:val="en-GB"/>
              </w:rPr>
            </w:pPr>
            <w:r w:rsidRPr="00353FCF">
              <w:rPr>
                <w:rFonts w:ascii="Verdana" w:hAnsi="Verdana"/>
                <w:noProof/>
                <w:sz w:val="16"/>
                <w:szCs w:val="16"/>
                <w:lang w:val="en-GB"/>
              </w:rPr>
              <w:t>Working capital at end of period</w:t>
            </w:r>
          </w:p>
        </w:tc>
        <w:tc>
          <w:tcPr>
            <w:tcW w:w="1134" w:type="dxa"/>
            <w:tcBorders>
              <w:left w:val="nil"/>
              <w:right w:val="nil"/>
            </w:tcBorders>
          </w:tcPr>
          <w:p w:rsidR="00D715D2" w:rsidRPr="009E4DD9" w:rsidRDefault="009E4DD9" w:rsidP="00D715D2">
            <w:pPr>
              <w:tabs>
                <w:tab w:val="left" w:pos="5245"/>
              </w:tabs>
              <w:spacing w:before="120"/>
              <w:jc w:val="right"/>
              <w:rPr>
                <w:rFonts w:ascii="Verdana" w:hAnsi="Verdana"/>
                <w:noProof/>
                <w:sz w:val="16"/>
                <w:szCs w:val="16"/>
              </w:rPr>
            </w:pPr>
            <w:r w:rsidRPr="009E4DD9">
              <w:rPr>
                <w:rFonts w:ascii="Verdana" w:hAnsi="Verdana"/>
                <w:noProof/>
                <w:sz w:val="16"/>
                <w:szCs w:val="16"/>
              </w:rPr>
              <w:t>(8,290)</w:t>
            </w:r>
          </w:p>
        </w:tc>
        <w:tc>
          <w:tcPr>
            <w:tcW w:w="992" w:type="dxa"/>
            <w:tcBorders>
              <w:left w:val="nil"/>
              <w:right w:val="nil"/>
            </w:tcBorders>
          </w:tcPr>
          <w:p w:rsidR="00D715D2" w:rsidRPr="00353FCF" w:rsidRDefault="00D715D2" w:rsidP="00D715D2">
            <w:pPr>
              <w:tabs>
                <w:tab w:val="left" w:pos="5245"/>
              </w:tabs>
              <w:spacing w:before="120"/>
              <w:jc w:val="right"/>
              <w:rPr>
                <w:rFonts w:ascii="Verdana" w:hAnsi="Verdana"/>
                <w:noProof/>
                <w:sz w:val="16"/>
                <w:szCs w:val="16"/>
                <w:lang w:val="en-GB"/>
              </w:rPr>
            </w:pPr>
            <w:r w:rsidRPr="00353FCF">
              <w:rPr>
                <w:rFonts w:ascii="Verdana" w:hAnsi="Verdana"/>
                <w:noProof/>
                <w:sz w:val="16"/>
                <w:szCs w:val="16"/>
                <w:lang w:val="en-GB"/>
              </w:rPr>
              <w:t>109</w:t>
            </w:r>
            <w:r>
              <w:rPr>
                <w:rFonts w:ascii="Verdana" w:hAnsi="Verdana"/>
                <w:noProof/>
                <w:sz w:val="16"/>
                <w:szCs w:val="16"/>
                <w:lang w:val="en-GB"/>
              </w:rPr>
              <w:t>,</w:t>
            </w:r>
            <w:r w:rsidRPr="00353FCF">
              <w:rPr>
                <w:rFonts w:ascii="Verdana" w:hAnsi="Verdana"/>
                <w:noProof/>
                <w:sz w:val="16"/>
                <w:szCs w:val="16"/>
                <w:lang w:val="en-GB"/>
              </w:rPr>
              <w:t>887</w:t>
            </w:r>
          </w:p>
        </w:tc>
        <w:tc>
          <w:tcPr>
            <w:tcW w:w="992" w:type="dxa"/>
            <w:tcBorders>
              <w:left w:val="nil"/>
              <w:right w:val="nil"/>
            </w:tcBorders>
          </w:tcPr>
          <w:p w:rsidR="00D715D2" w:rsidRPr="00353FCF" w:rsidRDefault="00D715D2" w:rsidP="00D715D2">
            <w:pPr>
              <w:tabs>
                <w:tab w:val="left" w:pos="5245"/>
              </w:tabs>
              <w:spacing w:before="120"/>
              <w:jc w:val="right"/>
              <w:rPr>
                <w:rFonts w:ascii="Verdana" w:hAnsi="Verdana"/>
                <w:noProof/>
                <w:sz w:val="16"/>
                <w:szCs w:val="16"/>
                <w:lang w:val="en-GB"/>
              </w:rPr>
            </w:pPr>
            <w:r w:rsidRPr="00353FCF">
              <w:rPr>
                <w:rFonts w:ascii="Verdana" w:hAnsi="Verdana"/>
                <w:noProof/>
                <w:sz w:val="16"/>
                <w:szCs w:val="16"/>
                <w:lang w:val="en-GB"/>
              </w:rPr>
              <w:t>87</w:t>
            </w:r>
            <w:r>
              <w:rPr>
                <w:rFonts w:ascii="Verdana" w:hAnsi="Verdana"/>
                <w:noProof/>
                <w:sz w:val="16"/>
                <w:szCs w:val="16"/>
                <w:lang w:val="en-GB"/>
              </w:rPr>
              <w:t>,</w:t>
            </w:r>
            <w:r w:rsidRPr="00353FCF">
              <w:rPr>
                <w:rFonts w:ascii="Verdana" w:hAnsi="Verdana"/>
                <w:noProof/>
                <w:sz w:val="16"/>
                <w:szCs w:val="16"/>
                <w:lang w:val="en-GB"/>
              </w:rPr>
              <w:t>989</w:t>
            </w:r>
          </w:p>
        </w:tc>
        <w:tc>
          <w:tcPr>
            <w:tcW w:w="992" w:type="dxa"/>
            <w:tcBorders>
              <w:left w:val="nil"/>
              <w:right w:val="nil"/>
            </w:tcBorders>
          </w:tcPr>
          <w:p w:rsidR="00D715D2" w:rsidRPr="00353FCF" w:rsidRDefault="00D715D2" w:rsidP="00D715D2">
            <w:pPr>
              <w:tabs>
                <w:tab w:val="left" w:pos="5245"/>
              </w:tabs>
              <w:spacing w:before="120"/>
              <w:jc w:val="right"/>
              <w:rPr>
                <w:rFonts w:ascii="Verdana" w:hAnsi="Verdana"/>
                <w:noProof/>
                <w:sz w:val="16"/>
                <w:szCs w:val="16"/>
                <w:lang w:val="en-GB"/>
              </w:rPr>
            </w:pPr>
            <w:r w:rsidRPr="00353FCF">
              <w:rPr>
                <w:rFonts w:ascii="Verdana" w:hAnsi="Verdana"/>
                <w:noProof/>
                <w:sz w:val="16"/>
                <w:szCs w:val="16"/>
                <w:lang w:val="en-GB"/>
              </w:rPr>
              <w:t>16</w:t>
            </w:r>
            <w:r>
              <w:rPr>
                <w:rFonts w:ascii="Verdana" w:hAnsi="Verdana"/>
                <w:noProof/>
                <w:sz w:val="16"/>
                <w:szCs w:val="16"/>
                <w:lang w:val="en-GB"/>
              </w:rPr>
              <w:t>,</w:t>
            </w:r>
            <w:r w:rsidRPr="00353FCF">
              <w:rPr>
                <w:rFonts w:ascii="Verdana" w:hAnsi="Verdana"/>
                <w:noProof/>
                <w:sz w:val="16"/>
                <w:szCs w:val="16"/>
                <w:lang w:val="en-GB"/>
              </w:rPr>
              <w:t>557</w:t>
            </w:r>
          </w:p>
        </w:tc>
        <w:tc>
          <w:tcPr>
            <w:tcW w:w="993" w:type="dxa"/>
            <w:tcBorders>
              <w:left w:val="nil"/>
              <w:right w:val="nil"/>
            </w:tcBorders>
          </w:tcPr>
          <w:p w:rsidR="00D715D2" w:rsidRPr="00353FCF" w:rsidRDefault="00D715D2" w:rsidP="00D715D2">
            <w:pPr>
              <w:tabs>
                <w:tab w:val="left" w:pos="5245"/>
              </w:tabs>
              <w:spacing w:before="120"/>
              <w:jc w:val="right"/>
              <w:rPr>
                <w:rFonts w:ascii="Verdana" w:hAnsi="Verdana"/>
                <w:noProof/>
                <w:sz w:val="16"/>
                <w:szCs w:val="16"/>
                <w:lang w:val="en-GB"/>
              </w:rPr>
            </w:pPr>
            <w:r w:rsidRPr="00353FCF">
              <w:rPr>
                <w:rFonts w:ascii="Verdana" w:hAnsi="Verdana"/>
                <w:noProof/>
                <w:sz w:val="16"/>
                <w:szCs w:val="16"/>
                <w:lang w:val="en-GB"/>
              </w:rPr>
              <w:t>19</w:t>
            </w:r>
            <w:r>
              <w:rPr>
                <w:rFonts w:ascii="Verdana" w:hAnsi="Verdana"/>
                <w:noProof/>
                <w:sz w:val="16"/>
                <w:szCs w:val="16"/>
                <w:lang w:val="en-GB"/>
              </w:rPr>
              <w:t>,</w:t>
            </w:r>
            <w:r w:rsidRPr="00353FCF">
              <w:rPr>
                <w:rFonts w:ascii="Verdana" w:hAnsi="Verdana"/>
                <w:noProof/>
                <w:sz w:val="16"/>
                <w:szCs w:val="16"/>
                <w:lang w:val="en-GB"/>
              </w:rPr>
              <w:t>807</w:t>
            </w:r>
          </w:p>
        </w:tc>
      </w:tr>
      <w:tr w:rsidR="00D715D2" w:rsidRPr="00353FCF" w:rsidTr="00DD53AC">
        <w:trPr>
          <w:trHeight w:val="285"/>
        </w:trPr>
        <w:tc>
          <w:tcPr>
            <w:tcW w:w="2709" w:type="dxa"/>
            <w:tcBorders>
              <w:left w:val="nil"/>
              <w:right w:val="nil"/>
            </w:tcBorders>
            <w:noWrap/>
            <w:vAlign w:val="bottom"/>
          </w:tcPr>
          <w:p w:rsidR="00D715D2" w:rsidRPr="00353FCF" w:rsidRDefault="00D715D2" w:rsidP="008C342C">
            <w:pPr>
              <w:tabs>
                <w:tab w:val="left" w:pos="5245"/>
              </w:tabs>
              <w:spacing w:before="120"/>
              <w:jc w:val="both"/>
              <w:rPr>
                <w:rFonts w:ascii="Verdana" w:hAnsi="Verdana"/>
                <w:noProof/>
                <w:sz w:val="16"/>
                <w:szCs w:val="16"/>
                <w:lang w:val="en-GB"/>
              </w:rPr>
            </w:pPr>
          </w:p>
        </w:tc>
        <w:tc>
          <w:tcPr>
            <w:tcW w:w="1134" w:type="dxa"/>
            <w:tcBorders>
              <w:left w:val="nil"/>
              <w:right w:val="nil"/>
            </w:tcBorders>
          </w:tcPr>
          <w:p w:rsidR="00D715D2" w:rsidRPr="009E4DD9" w:rsidRDefault="00D715D2" w:rsidP="006B537B">
            <w:pPr>
              <w:tabs>
                <w:tab w:val="left" w:pos="5245"/>
              </w:tabs>
              <w:spacing w:before="120"/>
              <w:jc w:val="right"/>
              <w:rPr>
                <w:rFonts w:ascii="Verdana" w:hAnsi="Verdana"/>
                <w:noProof/>
                <w:sz w:val="16"/>
                <w:szCs w:val="16"/>
              </w:rPr>
            </w:pPr>
          </w:p>
        </w:tc>
        <w:tc>
          <w:tcPr>
            <w:tcW w:w="992" w:type="dxa"/>
            <w:tcBorders>
              <w:left w:val="nil"/>
              <w:right w:val="nil"/>
            </w:tcBorders>
          </w:tcPr>
          <w:p w:rsidR="00D715D2" w:rsidRPr="00353FCF" w:rsidRDefault="00D715D2" w:rsidP="008C2F72">
            <w:pPr>
              <w:tabs>
                <w:tab w:val="left" w:pos="5245"/>
              </w:tabs>
              <w:spacing w:before="120"/>
              <w:jc w:val="right"/>
              <w:rPr>
                <w:rFonts w:ascii="Verdana" w:hAnsi="Verdana"/>
                <w:noProof/>
                <w:sz w:val="16"/>
                <w:szCs w:val="16"/>
                <w:lang w:val="en-GB"/>
              </w:rPr>
            </w:pPr>
          </w:p>
        </w:tc>
        <w:tc>
          <w:tcPr>
            <w:tcW w:w="992" w:type="dxa"/>
            <w:tcBorders>
              <w:left w:val="nil"/>
              <w:right w:val="nil"/>
            </w:tcBorders>
          </w:tcPr>
          <w:p w:rsidR="00D715D2" w:rsidRPr="00353FCF" w:rsidRDefault="00D715D2" w:rsidP="008C2F72">
            <w:pPr>
              <w:tabs>
                <w:tab w:val="left" w:pos="5245"/>
              </w:tabs>
              <w:spacing w:before="120"/>
              <w:jc w:val="right"/>
              <w:rPr>
                <w:rFonts w:ascii="Verdana" w:hAnsi="Verdana"/>
                <w:noProof/>
                <w:sz w:val="16"/>
                <w:szCs w:val="16"/>
                <w:lang w:val="en-GB"/>
              </w:rPr>
            </w:pPr>
          </w:p>
        </w:tc>
        <w:tc>
          <w:tcPr>
            <w:tcW w:w="992" w:type="dxa"/>
            <w:tcBorders>
              <w:left w:val="nil"/>
              <w:right w:val="nil"/>
            </w:tcBorders>
          </w:tcPr>
          <w:p w:rsidR="00D715D2" w:rsidRPr="00353FCF" w:rsidRDefault="00D715D2" w:rsidP="008C2F72">
            <w:pPr>
              <w:tabs>
                <w:tab w:val="left" w:pos="5245"/>
              </w:tabs>
              <w:spacing w:before="120"/>
              <w:jc w:val="right"/>
              <w:rPr>
                <w:rFonts w:ascii="Verdana" w:hAnsi="Verdana"/>
                <w:noProof/>
                <w:sz w:val="16"/>
                <w:szCs w:val="16"/>
                <w:lang w:val="en-GB"/>
              </w:rPr>
            </w:pPr>
          </w:p>
        </w:tc>
        <w:tc>
          <w:tcPr>
            <w:tcW w:w="993" w:type="dxa"/>
            <w:tcBorders>
              <w:left w:val="nil"/>
              <w:right w:val="nil"/>
            </w:tcBorders>
          </w:tcPr>
          <w:p w:rsidR="00D715D2" w:rsidRPr="00353FCF" w:rsidRDefault="00D715D2" w:rsidP="008C2F72">
            <w:pPr>
              <w:tabs>
                <w:tab w:val="left" w:pos="5245"/>
              </w:tabs>
              <w:spacing w:before="120"/>
              <w:jc w:val="right"/>
              <w:rPr>
                <w:rFonts w:ascii="Verdana" w:hAnsi="Verdana"/>
                <w:noProof/>
                <w:sz w:val="16"/>
                <w:szCs w:val="16"/>
                <w:lang w:val="en-GB"/>
              </w:rPr>
            </w:pPr>
          </w:p>
        </w:tc>
      </w:tr>
      <w:tr w:rsidR="00D715D2" w:rsidRPr="00353FCF" w:rsidTr="00DD53AC">
        <w:trPr>
          <w:trHeight w:val="285"/>
        </w:trPr>
        <w:tc>
          <w:tcPr>
            <w:tcW w:w="2709" w:type="dxa"/>
            <w:tcBorders>
              <w:left w:val="nil"/>
              <w:right w:val="nil"/>
            </w:tcBorders>
            <w:noWrap/>
            <w:vAlign w:val="bottom"/>
          </w:tcPr>
          <w:p w:rsidR="00D715D2" w:rsidRPr="00353FCF" w:rsidRDefault="00D715D2" w:rsidP="008C342C">
            <w:pPr>
              <w:tabs>
                <w:tab w:val="left" w:pos="5245"/>
              </w:tabs>
              <w:spacing w:before="120"/>
              <w:rPr>
                <w:rFonts w:ascii="Verdana" w:hAnsi="Verdana"/>
                <w:noProof/>
                <w:sz w:val="16"/>
                <w:szCs w:val="16"/>
                <w:lang w:val="en-GB"/>
              </w:rPr>
            </w:pPr>
            <w:r w:rsidRPr="00353FCF">
              <w:rPr>
                <w:rFonts w:ascii="Verdana" w:hAnsi="Verdana"/>
                <w:noProof/>
                <w:sz w:val="16"/>
                <w:szCs w:val="16"/>
                <w:lang w:val="en-GB"/>
              </w:rPr>
              <w:t>Cash generated from operations</w:t>
            </w:r>
          </w:p>
        </w:tc>
        <w:tc>
          <w:tcPr>
            <w:tcW w:w="1134" w:type="dxa"/>
            <w:tcBorders>
              <w:left w:val="nil"/>
              <w:right w:val="nil"/>
            </w:tcBorders>
          </w:tcPr>
          <w:p w:rsidR="00D715D2" w:rsidRPr="00E55E8E" w:rsidRDefault="00E55E8E" w:rsidP="00D715D2">
            <w:pPr>
              <w:tabs>
                <w:tab w:val="left" w:pos="5245"/>
              </w:tabs>
              <w:spacing w:before="120"/>
              <w:jc w:val="right"/>
              <w:rPr>
                <w:rFonts w:ascii="Verdana" w:hAnsi="Verdana"/>
                <w:noProof/>
                <w:sz w:val="16"/>
                <w:szCs w:val="16"/>
              </w:rPr>
            </w:pPr>
            <w:r w:rsidRPr="00E55E8E">
              <w:rPr>
                <w:rFonts w:ascii="Verdana" w:hAnsi="Verdana"/>
                <w:noProof/>
                <w:sz w:val="16"/>
                <w:szCs w:val="16"/>
              </w:rPr>
              <w:t>13,663</w:t>
            </w:r>
          </w:p>
        </w:tc>
        <w:tc>
          <w:tcPr>
            <w:tcW w:w="992" w:type="dxa"/>
            <w:tcBorders>
              <w:left w:val="nil"/>
              <w:right w:val="nil"/>
            </w:tcBorders>
          </w:tcPr>
          <w:p w:rsidR="00D715D2" w:rsidRPr="00353FCF" w:rsidRDefault="00D715D2" w:rsidP="00D715D2">
            <w:pPr>
              <w:tabs>
                <w:tab w:val="left" w:pos="5245"/>
              </w:tabs>
              <w:spacing w:before="120"/>
              <w:jc w:val="right"/>
              <w:rPr>
                <w:rFonts w:ascii="Verdana" w:hAnsi="Verdana"/>
                <w:noProof/>
                <w:sz w:val="16"/>
                <w:szCs w:val="16"/>
                <w:lang w:val="en-GB"/>
              </w:rPr>
            </w:pPr>
            <w:r w:rsidRPr="00353FCF">
              <w:rPr>
                <w:rFonts w:ascii="Verdana" w:hAnsi="Verdana"/>
                <w:noProof/>
                <w:sz w:val="16"/>
                <w:szCs w:val="16"/>
                <w:lang w:val="en-GB"/>
              </w:rPr>
              <w:t>2</w:t>
            </w:r>
            <w:r>
              <w:rPr>
                <w:rFonts w:ascii="Verdana" w:hAnsi="Verdana"/>
                <w:noProof/>
                <w:sz w:val="16"/>
                <w:szCs w:val="16"/>
                <w:lang w:val="en-GB"/>
              </w:rPr>
              <w:t>,</w:t>
            </w:r>
            <w:r w:rsidRPr="00353FCF">
              <w:rPr>
                <w:rFonts w:ascii="Verdana" w:hAnsi="Verdana"/>
                <w:noProof/>
                <w:sz w:val="16"/>
                <w:szCs w:val="16"/>
                <w:lang w:val="en-GB"/>
              </w:rPr>
              <w:t>778</w:t>
            </w:r>
          </w:p>
        </w:tc>
        <w:tc>
          <w:tcPr>
            <w:tcW w:w="992" w:type="dxa"/>
            <w:tcBorders>
              <w:left w:val="nil"/>
              <w:right w:val="nil"/>
            </w:tcBorders>
          </w:tcPr>
          <w:p w:rsidR="00D715D2" w:rsidRPr="00353FCF" w:rsidRDefault="00D715D2" w:rsidP="00D715D2">
            <w:pPr>
              <w:tabs>
                <w:tab w:val="left" w:pos="5245"/>
              </w:tabs>
              <w:spacing w:before="120"/>
              <w:jc w:val="right"/>
              <w:rPr>
                <w:rFonts w:ascii="Verdana" w:hAnsi="Verdana"/>
                <w:noProof/>
                <w:sz w:val="16"/>
                <w:szCs w:val="16"/>
                <w:lang w:val="en-GB"/>
              </w:rPr>
            </w:pPr>
            <w:r w:rsidRPr="00353FCF">
              <w:rPr>
                <w:rFonts w:ascii="Verdana" w:hAnsi="Verdana"/>
                <w:noProof/>
                <w:sz w:val="16"/>
                <w:szCs w:val="16"/>
                <w:lang w:val="en-GB"/>
              </w:rPr>
              <w:t>(2</w:t>
            </w:r>
            <w:r>
              <w:rPr>
                <w:rFonts w:ascii="Verdana" w:hAnsi="Verdana"/>
                <w:noProof/>
                <w:sz w:val="16"/>
                <w:szCs w:val="16"/>
                <w:lang w:val="en-GB"/>
              </w:rPr>
              <w:t>,</w:t>
            </w:r>
            <w:r w:rsidRPr="00353FCF">
              <w:rPr>
                <w:rFonts w:ascii="Verdana" w:hAnsi="Verdana"/>
                <w:noProof/>
                <w:sz w:val="16"/>
                <w:szCs w:val="16"/>
                <w:lang w:val="en-GB"/>
              </w:rPr>
              <w:t>992)</w:t>
            </w:r>
          </w:p>
        </w:tc>
        <w:tc>
          <w:tcPr>
            <w:tcW w:w="992" w:type="dxa"/>
            <w:tcBorders>
              <w:left w:val="nil"/>
              <w:right w:val="nil"/>
            </w:tcBorders>
          </w:tcPr>
          <w:p w:rsidR="00D715D2" w:rsidRPr="00353FCF" w:rsidRDefault="00D715D2" w:rsidP="00D715D2">
            <w:pPr>
              <w:tabs>
                <w:tab w:val="left" w:pos="5245"/>
              </w:tabs>
              <w:spacing w:before="120"/>
              <w:jc w:val="right"/>
              <w:rPr>
                <w:rFonts w:ascii="Verdana" w:hAnsi="Verdana"/>
                <w:noProof/>
                <w:sz w:val="16"/>
                <w:szCs w:val="16"/>
                <w:lang w:val="en-GB"/>
              </w:rPr>
            </w:pPr>
            <w:r w:rsidRPr="00353FCF">
              <w:rPr>
                <w:rFonts w:ascii="Verdana" w:hAnsi="Verdana"/>
                <w:noProof/>
                <w:sz w:val="16"/>
                <w:szCs w:val="16"/>
                <w:lang w:val="en-GB"/>
              </w:rPr>
              <w:t>2</w:t>
            </w:r>
            <w:r>
              <w:rPr>
                <w:rFonts w:ascii="Verdana" w:hAnsi="Verdana"/>
                <w:noProof/>
                <w:sz w:val="16"/>
                <w:szCs w:val="16"/>
                <w:lang w:val="en-GB"/>
              </w:rPr>
              <w:t>,</w:t>
            </w:r>
            <w:r w:rsidRPr="00353FCF">
              <w:rPr>
                <w:rFonts w:ascii="Verdana" w:hAnsi="Verdana"/>
                <w:noProof/>
                <w:sz w:val="16"/>
                <w:szCs w:val="16"/>
                <w:lang w:val="en-GB"/>
              </w:rPr>
              <w:t>987</w:t>
            </w:r>
          </w:p>
        </w:tc>
        <w:tc>
          <w:tcPr>
            <w:tcW w:w="993" w:type="dxa"/>
            <w:tcBorders>
              <w:left w:val="nil"/>
              <w:right w:val="nil"/>
            </w:tcBorders>
          </w:tcPr>
          <w:p w:rsidR="00D715D2" w:rsidRPr="00353FCF" w:rsidRDefault="00D715D2" w:rsidP="00D715D2">
            <w:pPr>
              <w:tabs>
                <w:tab w:val="left" w:pos="5245"/>
              </w:tabs>
              <w:spacing w:before="120"/>
              <w:jc w:val="right"/>
              <w:rPr>
                <w:rFonts w:ascii="Verdana" w:hAnsi="Verdana"/>
                <w:noProof/>
                <w:sz w:val="16"/>
                <w:szCs w:val="16"/>
                <w:lang w:val="en-GB"/>
              </w:rPr>
            </w:pPr>
            <w:r w:rsidRPr="00353FCF">
              <w:rPr>
                <w:rFonts w:ascii="Verdana" w:hAnsi="Verdana"/>
                <w:noProof/>
                <w:sz w:val="16"/>
                <w:szCs w:val="16"/>
                <w:lang w:val="en-GB"/>
              </w:rPr>
              <w:t>13</w:t>
            </w:r>
            <w:r>
              <w:rPr>
                <w:rFonts w:ascii="Verdana" w:hAnsi="Verdana"/>
                <w:noProof/>
                <w:sz w:val="16"/>
                <w:szCs w:val="16"/>
                <w:lang w:val="en-GB"/>
              </w:rPr>
              <w:t>,</w:t>
            </w:r>
            <w:r w:rsidRPr="00353FCF">
              <w:rPr>
                <w:rFonts w:ascii="Verdana" w:hAnsi="Verdana"/>
                <w:noProof/>
                <w:sz w:val="16"/>
                <w:szCs w:val="16"/>
                <w:lang w:val="en-GB"/>
              </w:rPr>
              <w:t>207</w:t>
            </w:r>
          </w:p>
        </w:tc>
      </w:tr>
      <w:tr w:rsidR="00D715D2" w:rsidRPr="00353FCF" w:rsidTr="00DD53AC">
        <w:trPr>
          <w:trHeight w:val="285"/>
        </w:trPr>
        <w:tc>
          <w:tcPr>
            <w:tcW w:w="2709" w:type="dxa"/>
            <w:tcBorders>
              <w:left w:val="nil"/>
              <w:right w:val="nil"/>
            </w:tcBorders>
            <w:noWrap/>
            <w:vAlign w:val="bottom"/>
          </w:tcPr>
          <w:p w:rsidR="00D715D2" w:rsidRPr="00353FCF" w:rsidRDefault="00D715D2" w:rsidP="008C342C">
            <w:pPr>
              <w:tabs>
                <w:tab w:val="left" w:pos="5245"/>
              </w:tabs>
              <w:spacing w:before="120"/>
              <w:jc w:val="both"/>
              <w:rPr>
                <w:rFonts w:ascii="Verdana" w:hAnsi="Verdana"/>
                <w:noProof/>
                <w:sz w:val="16"/>
                <w:szCs w:val="16"/>
                <w:lang w:val="en-GB"/>
              </w:rPr>
            </w:pPr>
            <w:r w:rsidRPr="00353FCF">
              <w:rPr>
                <w:rFonts w:ascii="Verdana" w:hAnsi="Verdana"/>
                <w:noProof/>
                <w:sz w:val="16"/>
                <w:szCs w:val="16"/>
                <w:lang w:val="en-GB"/>
              </w:rPr>
              <w:t>Net cash at end of period</w:t>
            </w:r>
          </w:p>
        </w:tc>
        <w:tc>
          <w:tcPr>
            <w:tcW w:w="1134" w:type="dxa"/>
            <w:tcBorders>
              <w:left w:val="nil"/>
              <w:right w:val="nil"/>
            </w:tcBorders>
          </w:tcPr>
          <w:p w:rsidR="00D715D2" w:rsidRPr="00E55E8E" w:rsidRDefault="00E55E8E" w:rsidP="00D715D2">
            <w:pPr>
              <w:tabs>
                <w:tab w:val="left" w:pos="5245"/>
              </w:tabs>
              <w:spacing w:before="120"/>
              <w:jc w:val="right"/>
              <w:rPr>
                <w:rFonts w:ascii="Verdana" w:hAnsi="Verdana"/>
                <w:noProof/>
                <w:sz w:val="16"/>
                <w:szCs w:val="16"/>
              </w:rPr>
            </w:pPr>
            <w:r w:rsidRPr="00E55E8E">
              <w:rPr>
                <w:rFonts w:ascii="Verdana" w:hAnsi="Verdana"/>
                <w:noProof/>
                <w:sz w:val="16"/>
                <w:szCs w:val="16"/>
              </w:rPr>
              <w:t>22,213</w:t>
            </w:r>
          </w:p>
        </w:tc>
        <w:tc>
          <w:tcPr>
            <w:tcW w:w="992" w:type="dxa"/>
            <w:tcBorders>
              <w:left w:val="nil"/>
              <w:right w:val="nil"/>
            </w:tcBorders>
          </w:tcPr>
          <w:p w:rsidR="00D715D2" w:rsidRPr="00353FCF" w:rsidRDefault="00D715D2" w:rsidP="00D715D2">
            <w:pPr>
              <w:tabs>
                <w:tab w:val="left" w:pos="5245"/>
              </w:tabs>
              <w:spacing w:before="120"/>
              <w:jc w:val="right"/>
              <w:rPr>
                <w:rFonts w:ascii="Verdana" w:hAnsi="Verdana"/>
                <w:noProof/>
                <w:sz w:val="16"/>
                <w:szCs w:val="16"/>
                <w:lang w:val="en-GB"/>
              </w:rPr>
            </w:pPr>
            <w:r w:rsidRPr="00353FCF">
              <w:rPr>
                <w:rFonts w:ascii="Verdana" w:hAnsi="Verdana"/>
                <w:noProof/>
                <w:sz w:val="16"/>
                <w:szCs w:val="16"/>
                <w:lang w:val="en-GB"/>
              </w:rPr>
              <w:t>30</w:t>
            </w:r>
            <w:r>
              <w:rPr>
                <w:rFonts w:ascii="Verdana" w:hAnsi="Verdana"/>
                <w:noProof/>
                <w:sz w:val="16"/>
                <w:szCs w:val="16"/>
                <w:lang w:val="en-GB"/>
              </w:rPr>
              <w:t>,</w:t>
            </w:r>
            <w:r w:rsidRPr="00353FCF">
              <w:rPr>
                <w:rFonts w:ascii="Verdana" w:hAnsi="Verdana"/>
                <w:noProof/>
                <w:sz w:val="16"/>
                <w:szCs w:val="16"/>
                <w:lang w:val="en-GB"/>
              </w:rPr>
              <w:t>437</w:t>
            </w:r>
          </w:p>
        </w:tc>
        <w:tc>
          <w:tcPr>
            <w:tcW w:w="992" w:type="dxa"/>
            <w:tcBorders>
              <w:left w:val="nil"/>
              <w:right w:val="nil"/>
            </w:tcBorders>
          </w:tcPr>
          <w:p w:rsidR="00D715D2" w:rsidRPr="00353FCF" w:rsidRDefault="00D715D2" w:rsidP="00D715D2">
            <w:pPr>
              <w:tabs>
                <w:tab w:val="left" w:pos="5245"/>
              </w:tabs>
              <w:spacing w:before="120"/>
              <w:jc w:val="right"/>
              <w:rPr>
                <w:rFonts w:ascii="Verdana" w:hAnsi="Verdana"/>
                <w:noProof/>
                <w:sz w:val="16"/>
                <w:szCs w:val="16"/>
                <w:lang w:val="en-GB"/>
              </w:rPr>
            </w:pPr>
            <w:r w:rsidRPr="00353FCF">
              <w:rPr>
                <w:rFonts w:ascii="Verdana" w:hAnsi="Verdana"/>
                <w:noProof/>
                <w:sz w:val="16"/>
                <w:szCs w:val="16"/>
                <w:lang w:val="en-GB"/>
              </w:rPr>
              <w:t>63</w:t>
            </w:r>
            <w:r>
              <w:rPr>
                <w:rFonts w:ascii="Verdana" w:hAnsi="Verdana"/>
                <w:noProof/>
                <w:sz w:val="16"/>
                <w:szCs w:val="16"/>
                <w:lang w:val="en-GB"/>
              </w:rPr>
              <w:t>,</w:t>
            </w:r>
            <w:r w:rsidRPr="00353FCF">
              <w:rPr>
                <w:rFonts w:ascii="Verdana" w:hAnsi="Verdana"/>
                <w:noProof/>
                <w:sz w:val="16"/>
                <w:szCs w:val="16"/>
                <w:lang w:val="en-GB"/>
              </w:rPr>
              <w:t>079</w:t>
            </w:r>
          </w:p>
        </w:tc>
        <w:tc>
          <w:tcPr>
            <w:tcW w:w="992" w:type="dxa"/>
            <w:tcBorders>
              <w:left w:val="nil"/>
              <w:right w:val="nil"/>
            </w:tcBorders>
          </w:tcPr>
          <w:p w:rsidR="00D715D2" w:rsidRPr="00353FCF" w:rsidRDefault="00D715D2" w:rsidP="008C2F72">
            <w:pPr>
              <w:tabs>
                <w:tab w:val="left" w:pos="5245"/>
              </w:tabs>
              <w:spacing w:before="120"/>
              <w:jc w:val="right"/>
              <w:rPr>
                <w:rFonts w:ascii="Verdana" w:hAnsi="Verdana"/>
                <w:noProof/>
                <w:sz w:val="16"/>
                <w:szCs w:val="16"/>
                <w:lang w:val="en-GB"/>
              </w:rPr>
            </w:pPr>
            <w:r w:rsidRPr="00353FCF">
              <w:rPr>
                <w:rFonts w:ascii="Verdana" w:hAnsi="Verdana"/>
                <w:noProof/>
                <w:sz w:val="16"/>
                <w:szCs w:val="16"/>
                <w:lang w:val="en-GB"/>
              </w:rPr>
              <w:t>3,880</w:t>
            </w:r>
          </w:p>
        </w:tc>
        <w:tc>
          <w:tcPr>
            <w:tcW w:w="993" w:type="dxa"/>
            <w:tcBorders>
              <w:left w:val="nil"/>
              <w:right w:val="nil"/>
            </w:tcBorders>
          </w:tcPr>
          <w:p w:rsidR="00D715D2" w:rsidRPr="00353FCF" w:rsidRDefault="00D715D2" w:rsidP="00D715D2">
            <w:pPr>
              <w:tabs>
                <w:tab w:val="left" w:pos="5245"/>
              </w:tabs>
              <w:spacing w:before="120"/>
              <w:jc w:val="right"/>
              <w:rPr>
                <w:rFonts w:ascii="Verdana" w:hAnsi="Verdana"/>
                <w:noProof/>
                <w:sz w:val="16"/>
                <w:szCs w:val="16"/>
                <w:lang w:val="en-GB"/>
              </w:rPr>
            </w:pPr>
            <w:r w:rsidRPr="00353FCF">
              <w:rPr>
                <w:rFonts w:ascii="Verdana" w:hAnsi="Verdana"/>
                <w:noProof/>
                <w:sz w:val="16"/>
                <w:szCs w:val="16"/>
                <w:lang w:val="en-GB"/>
              </w:rPr>
              <w:t>4</w:t>
            </w:r>
            <w:r>
              <w:rPr>
                <w:rFonts w:ascii="Verdana" w:hAnsi="Verdana"/>
                <w:noProof/>
                <w:sz w:val="16"/>
                <w:szCs w:val="16"/>
                <w:lang w:val="en-GB"/>
              </w:rPr>
              <w:t>,</w:t>
            </w:r>
            <w:r w:rsidRPr="00353FCF">
              <w:rPr>
                <w:rFonts w:ascii="Verdana" w:hAnsi="Verdana"/>
                <w:noProof/>
                <w:sz w:val="16"/>
                <w:szCs w:val="16"/>
                <w:lang w:val="en-GB"/>
              </w:rPr>
              <w:t>366</w:t>
            </w:r>
          </w:p>
        </w:tc>
      </w:tr>
      <w:tr w:rsidR="00D715D2" w:rsidRPr="00353FCF" w:rsidTr="00DD53AC">
        <w:trPr>
          <w:trHeight w:val="285"/>
        </w:trPr>
        <w:tc>
          <w:tcPr>
            <w:tcW w:w="2709" w:type="dxa"/>
            <w:tcBorders>
              <w:left w:val="nil"/>
              <w:right w:val="nil"/>
            </w:tcBorders>
            <w:noWrap/>
            <w:vAlign w:val="bottom"/>
          </w:tcPr>
          <w:p w:rsidR="00D715D2" w:rsidRPr="00353FCF" w:rsidRDefault="00D715D2" w:rsidP="008C342C">
            <w:pPr>
              <w:tabs>
                <w:tab w:val="left" w:pos="5245"/>
              </w:tabs>
              <w:spacing w:before="120"/>
              <w:jc w:val="both"/>
              <w:rPr>
                <w:rFonts w:ascii="Verdana" w:hAnsi="Verdana"/>
                <w:noProof/>
                <w:sz w:val="16"/>
                <w:szCs w:val="16"/>
                <w:lang w:val="en-GB"/>
              </w:rPr>
            </w:pPr>
          </w:p>
        </w:tc>
        <w:tc>
          <w:tcPr>
            <w:tcW w:w="1134" w:type="dxa"/>
            <w:tcBorders>
              <w:left w:val="nil"/>
              <w:right w:val="nil"/>
            </w:tcBorders>
          </w:tcPr>
          <w:p w:rsidR="00D715D2" w:rsidRPr="009E4DD9" w:rsidRDefault="00D715D2" w:rsidP="006B537B">
            <w:pPr>
              <w:tabs>
                <w:tab w:val="left" w:pos="5245"/>
              </w:tabs>
              <w:spacing w:before="120"/>
              <w:jc w:val="right"/>
              <w:rPr>
                <w:rFonts w:ascii="Verdana" w:hAnsi="Verdana"/>
                <w:noProof/>
                <w:sz w:val="16"/>
                <w:szCs w:val="16"/>
              </w:rPr>
            </w:pPr>
          </w:p>
        </w:tc>
        <w:tc>
          <w:tcPr>
            <w:tcW w:w="992" w:type="dxa"/>
            <w:tcBorders>
              <w:left w:val="nil"/>
              <w:right w:val="nil"/>
            </w:tcBorders>
          </w:tcPr>
          <w:p w:rsidR="00D715D2" w:rsidRPr="00353FCF" w:rsidRDefault="00D715D2" w:rsidP="008C2F72">
            <w:pPr>
              <w:tabs>
                <w:tab w:val="left" w:pos="5245"/>
              </w:tabs>
              <w:spacing w:before="120"/>
              <w:jc w:val="right"/>
              <w:rPr>
                <w:rFonts w:ascii="Verdana" w:hAnsi="Verdana"/>
                <w:noProof/>
                <w:sz w:val="16"/>
                <w:szCs w:val="16"/>
                <w:lang w:val="en-GB"/>
              </w:rPr>
            </w:pPr>
          </w:p>
        </w:tc>
        <w:tc>
          <w:tcPr>
            <w:tcW w:w="992" w:type="dxa"/>
            <w:tcBorders>
              <w:left w:val="nil"/>
              <w:right w:val="nil"/>
            </w:tcBorders>
          </w:tcPr>
          <w:p w:rsidR="00D715D2" w:rsidRPr="00353FCF" w:rsidRDefault="00D715D2" w:rsidP="008C2F72">
            <w:pPr>
              <w:tabs>
                <w:tab w:val="left" w:pos="5245"/>
              </w:tabs>
              <w:spacing w:before="120"/>
              <w:jc w:val="right"/>
              <w:rPr>
                <w:rFonts w:ascii="Verdana" w:hAnsi="Verdana"/>
                <w:noProof/>
                <w:sz w:val="16"/>
                <w:szCs w:val="16"/>
                <w:lang w:val="en-GB"/>
              </w:rPr>
            </w:pPr>
          </w:p>
        </w:tc>
        <w:tc>
          <w:tcPr>
            <w:tcW w:w="992" w:type="dxa"/>
            <w:tcBorders>
              <w:left w:val="nil"/>
              <w:right w:val="nil"/>
            </w:tcBorders>
          </w:tcPr>
          <w:p w:rsidR="00D715D2" w:rsidRPr="00353FCF" w:rsidRDefault="00D715D2" w:rsidP="008C2F72">
            <w:pPr>
              <w:tabs>
                <w:tab w:val="left" w:pos="5245"/>
              </w:tabs>
              <w:spacing w:before="120"/>
              <w:jc w:val="right"/>
              <w:rPr>
                <w:rFonts w:ascii="Verdana" w:hAnsi="Verdana"/>
                <w:noProof/>
                <w:sz w:val="16"/>
                <w:szCs w:val="16"/>
                <w:lang w:val="en-GB"/>
              </w:rPr>
            </w:pPr>
          </w:p>
        </w:tc>
        <w:tc>
          <w:tcPr>
            <w:tcW w:w="993" w:type="dxa"/>
            <w:tcBorders>
              <w:left w:val="nil"/>
              <w:right w:val="nil"/>
            </w:tcBorders>
          </w:tcPr>
          <w:p w:rsidR="00D715D2" w:rsidRPr="00353FCF" w:rsidRDefault="00D715D2" w:rsidP="008C2F72">
            <w:pPr>
              <w:tabs>
                <w:tab w:val="left" w:pos="5245"/>
              </w:tabs>
              <w:spacing w:before="120"/>
              <w:jc w:val="right"/>
              <w:rPr>
                <w:rFonts w:ascii="Verdana" w:hAnsi="Verdana"/>
                <w:noProof/>
                <w:sz w:val="16"/>
                <w:szCs w:val="16"/>
                <w:lang w:val="en-GB"/>
              </w:rPr>
            </w:pPr>
          </w:p>
        </w:tc>
      </w:tr>
      <w:tr w:rsidR="00D715D2" w:rsidRPr="00353FCF" w:rsidTr="00DD53AC">
        <w:trPr>
          <w:trHeight w:val="285"/>
        </w:trPr>
        <w:tc>
          <w:tcPr>
            <w:tcW w:w="2709" w:type="dxa"/>
            <w:tcBorders>
              <w:left w:val="nil"/>
              <w:right w:val="nil"/>
            </w:tcBorders>
            <w:noWrap/>
            <w:vAlign w:val="bottom"/>
          </w:tcPr>
          <w:p w:rsidR="00D715D2" w:rsidRPr="00353FCF" w:rsidRDefault="00D715D2" w:rsidP="008C342C">
            <w:pPr>
              <w:jc w:val="both"/>
              <w:rPr>
                <w:rFonts w:ascii="Verdana" w:hAnsi="Verdana"/>
                <w:noProof/>
                <w:sz w:val="16"/>
                <w:szCs w:val="16"/>
                <w:lang w:val="en-GB"/>
              </w:rPr>
            </w:pPr>
            <w:r w:rsidRPr="00353FCF">
              <w:rPr>
                <w:rFonts w:ascii="Verdana" w:hAnsi="Verdana"/>
                <w:noProof/>
                <w:sz w:val="16"/>
                <w:szCs w:val="16"/>
                <w:lang w:val="en-GB"/>
              </w:rPr>
              <w:t>Current ratio</w:t>
            </w:r>
          </w:p>
        </w:tc>
        <w:tc>
          <w:tcPr>
            <w:tcW w:w="1134" w:type="dxa"/>
            <w:tcBorders>
              <w:left w:val="nil"/>
              <w:right w:val="nil"/>
            </w:tcBorders>
          </w:tcPr>
          <w:p w:rsidR="00D715D2" w:rsidRPr="009E4DD9" w:rsidRDefault="00D715D2" w:rsidP="00D715D2">
            <w:pPr>
              <w:tabs>
                <w:tab w:val="left" w:pos="5245"/>
              </w:tabs>
              <w:spacing w:before="120"/>
              <w:jc w:val="right"/>
              <w:rPr>
                <w:rFonts w:ascii="Verdana" w:hAnsi="Verdana"/>
                <w:noProof/>
                <w:sz w:val="16"/>
                <w:szCs w:val="16"/>
              </w:rPr>
            </w:pPr>
            <w:r w:rsidRPr="009E4DD9">
              <w:rPr>
                <w:rFonts w:ascii="Verdana" w:hAnsi="Verdana"/>
                <w:noProof/>
                <w:sz w:val="16"/>
                <w:szCs w:val="16"/>
              </w:rPr>
              <w:t>1.0</w:t>
            </w:r>
          </w:p>
        </w:tc>
        <w:tc>
          <w:tcPr>
            <w:tcW w:w="992" w:type="dxa"/>
            <w:tcBorders>
              <w:left w:val="nil"/>
              <w:right w:val="nil"/>
            </w:tcBorders>
          </w:tcPr>
          <w:p w:rsidR="00D715D2" w:rsidRPr="00353FCF" w:rsidRDefault="00D715D2" w:rsidP="00D715D2">
            <w:pPr>
              <w:tabs>
                <w:tab w:val="left" w:pos="5245"/>
              </w:tabs>
              <w:spacing w:before="120"/>
              <w:jc w:val="right"/>
              <w:rPr>
                <w:rFonts w:ascii="Verdana" w:hAnsi="Verdana"/>
                <w:noProof/>
                <w:sz w:val="16"/>
                <w:szCs w:val="16"/>
                <w:lang w:val="en-GB"/>
              </w:rPr>
            </w:pPr>
            <w:r w:rsidRPr="00353FCF">
              <w:rPr>
                <w:rFonts w:ascii="Verdana" w:hAnsi="Verdana"/>
                <w:noProof/>
                <w:sz w:val="16"/>
                <w:szCs w:val="16"/>
                <w:lang w:val="en-GB"/>
              </w:rPr>
              <w:t>1</w:t>
            </w:r>
            <w:r>
              <w:rPr>
                <w:rFonts w:ascii="Verdana" w:hAnsi="Verdana"/>
                <w:noProof/>
                <w:sz w:val="16"/>
                <w:szCs w:val="16"/>
                <w:lang w:val="en-GB"/>
              </w:rPr>
              <w:t>.</w:t>
            </w:r>
            <w:r w:rsidRPr="00353FCF">
              <w:rPr>
                <w:rFonts w:ascii="Verdana" w:hAnsi="Verdana"/>
                <w:noProof/>
                <w:sz w:val="16"/>
                <w:szCs w:val="16"/>
                <w:lang w:val="en-GB"/>
              </w:rPr>
              <w:t>9</w:t>
            </w:r>
          </w:p>
        </w:tc>
        <w:tc>
          <w:tcPr>
            <w:tcW w:w="992" w:type="dxa"/>
            <w:tcBorders>
              <w:left w:val="nil"/>
              <w:right w:val="nil"/>
            </w:tcBorders>
          </w:tcPr>
          <w:p w:rsidR="00D715D2" w:rsidRPr="00353FCF" w:rsidRDefault="00D715D2" w:rsidP="00D715D2">
            <w:pPr>
              <w:tabs>
                <w:tab w:val="left" w:pos="5245"/>
              </w:tabs>
              <w:spacing w:before="120"/>
              <w:jc w:val="right"/>
              <w:rPr>
                <w:rFonts w:ascii="Verdana" w:hAnsi="Verdana"/>
                <w:noProof/>
                <w:sz w:val="16"/>
                <w:szCs w:val="16"/>
                <w:lang w:val="en-GB"/>
              </w:rPr>
            </w:pPr>
            <w:r w:rsidRPr="00353FCF">
              <w:rPr>
                <w:rFonts w:ascii="Verdana" w:hAnsi="Verdana"/>
                <w:noProof/>
                <w:sz w:val="16"/>
                <w:szCs w:val="16"/>
                <w:lang w:val="en-GB"/>
              </w:rPr>
              <w:t>1</w:t>
            </w:r>
            <w:r>
              <w:rPr>
                <w:rFonts w:ascii="Verdana" w:hAnsi="Verdana"/>
                <w:noProof/>
                <w:sz w:val="16"/>
                <w:szCs w:val="16"/>
                <w:lang w:val="en-GB"/>
              </w:rPr>
              <w:t>.</w:t>
            </w:r>
            <w:r w:rsidRPr="00353FCF">
              <w:rPr>
                <w:rFonts w:ascii="Verdana" w:hAnsi="Verdana"/>
                <w:noProof/>
                <w:sz w:val="16"/>
                <w:szCs w:val="16"/>
                <w:lang w:val="en-GB"/>
              </w:rPr>
              <w:t>9</w:t>
            </w:r>
          </w:p>
        </w:tc>
        <w:tc>
          <w:tcPr>
            <w:tcW w:w="992" w:type="dxa"/>
            <w:tcBorders>
              <w:left w:val="nil"/>
              <w:right w:val="nil"/>
            </w:tcBorders>
          </w:tcPr>
          <w:p w:rsidR="00D715D2" w:rsidRPr="00353FCF" w:rsidRDefault="00D715D2" w:rsidP="00D715D2">
            <w:pPr>
              <w:tabs>
                <w:tab w:val="left" w:pos="5245"/>
              </w:tabs>
              <w:spacing w:before="120"/>
              <w:jc w:val="right"/>
              <w:rPr>
                <w:rFonts w:ascii="Verdana" w:hAnsi="Verdana"/>
                <w:noProof/>
                <w:sz w:val="16"/>
                <w:szCs w:val="16"/>
                <w:lang w:val="en-GB"/>
              </w:rPr>
            </w:pPr>
            <w:r w:rsidRPr="00353FCF">
              <w:rPr>
                <w:rFonts w:ascii="Verdana" w:hAnsi="Verdana"/>
                <w:noProof/>
                <w:sz w:val="16"/>
                <w:szCs w:val="16"/>
                <w:lang w:val="en-GB"/>
              </w:rPr>
              <w:t>1</w:t>
            </w:r>
            <w:r>
              <w:rPr>
                <w:rFonts w:ascii="Verdana" w:hAnsi="Verdana"/>
                <w:noProof/>
                <w:sz w:val="16"/>
                <w:szCs w:val="16"/>
                <w:lang w:val="en-GB"/>
              </w:rPr>
              <w:t>.</w:t>
            </w:r>
            <w:r w:rsidRPr="00353FCF">
              <w:rPr>
                <w:rFonts w:ascii="Verdana" w:hAnsi="Verdana"/>
                <w:noProof/>
                <w:sz w:val="16"/>
                <w:szCs w:val="16"/>
                <w:lang w:val="en-GB"/>
              </w:rPr>
              <w:t>4</w:t>
            </w:r>
          </w:p>
        </w:tc>
        <w:tc>
          <w:tcPr>
            <w:tcW w:w="993" w:type="dxa"/>
            <w:tcBorders>
              <w:left w:val="nil"/>
              <w:right w:val="nil"/>
            </w:tcBorders>
          </w:tcPr>
          <w:p w:rsidR="00D715D2" w:rsidRPr="00353FCF" w:rsidRDefault="00D715D2" w:rsidP="00D715D2">
            <w:pPr>
              <w:tabs>
                <w:tab w:val="left" w:pos="5245"/>
              </w:tabs>
              <w:spacing w:before="120"/>
              <w:jc w:val="right"/>
              <w:rPr>
                <w:rFonts w:ascii="Verdana" w:hAnsi="Verdana"/>
                <w:noProof/>
                <w:sz w:val="16"/>
                <w:szCs w:val="16"/>
                <w:lang w:val="en-GB"/>
              </w:rPr>
            </w:pPr>
            <w:r w:rsidRPr="00353FCF">
              <w:rPr>
                <w:rFonts w:ascii="Verdana" w:hAnsi="Verdana"/>
                <w:noProof/>
                <w:sz w:val="16"/>
                <w:szCs w:val="16"/>
                <w:lang w:val="en-GB"/>
              </w:rPr>
              <w:t>1</w:t>
            </w:r>
            <w:r>
              <w:rPr>
                <w:rFonts w:ascii="Verdana" w:hAnsi="Verdana"/>
                <w:noProof/>
                <w:sz w:val="16"/>
                <w:szCs w:val="16"/>
                <w:lang w:val="en-GB"/>
              </w:rPr>
              <w:t>.</w:t>
            </w:r>
            <w:r w:rsidRPr="00353FCF">
              <w:rPr>
                <w:rFonts w:ascii="Verdana" w:hAnsi="Verdana"/>
                <w:noProof/>
                <w:sz w:val="16"/>
                <w:szCs w:val="16"/>
                <w:lang w:val="en-GB"/>
              </w:rPr>
              <w:t>6</w:t>
            </w:r>
          </w:p>
        </w:tc>
      </w:tr>
      <w:tr w:rsidR="00D715D2" w:rsidRPr="00353FCF" w:rsidTr="00DD53AC">
        <w:trPr>
          <w:trHeight w:val="285"/>
        </w:trPr>
        <w:tc>
          <w:tcPr>
            <w:tcW w:w="2709" w:type="dxa"/>
            <w:tcBorders>
              <w:left w:val="nil"/>
              <w:right w:val="nil"/>
            </w:tcBorders>
            <w:noWrap/>
            <w:vAlign w:val="bottom"/>
          </w:tcPr>
          <w:p w:rsidR="00D715D2" w:rsidRPr="00353FCF" w:rsidRDefault="00D715D2" w:rsidP="008C342C">
            <w:pPr>
              <w:jc w:val="both"/>
              <w:rPr>
                <w:rFonts w:ascii="Verdana" w:hAnsi="Verdana"/>
                <w:noProof/>
                <w:sz w:val="16"/>
                <w:szCs w:val="16"/>
                <w:lang w:val="en-GB"/>
              </w:rPr>
            </w:pPr>
            <w:r w:rsidRPr="00353FCF">
              <w:rPr>
                <w:rFonts w:ascii="Verdana" w:hAnsi="Verdana"/>
                <w:noProof/>
                <w:sz w:val="16"/>
                <w:szCs w:val="16"/>
                <w:lang w:val="en-GB"/>
              </w:rPr>
              <w:t>Quick ratio</w:t>
            </w:r>
          </w:p>
        </w:tc>
        <w:tc>
          <w:tcPr>
            <w:tcW w:w="1134" w:type="dxa"/>
            <w:tcBorders>
              <w:left w:val="nil"/>
              <w:right w:val="nil"/>
            </w:tcBorders>
          </w:tcPr>
          <w:p w:rsidR="00D715D2" w:rsidRPr="009E4DD9" w:rsidRDefault="00D715D2" w:rsidP="00D715D2">
            <w:pPr>
              <w:tabs>
                <w:tab w:val="left" w:pos="5245"/>
              </w:tabs>
              <w:spacing w:before="120"/>
              <w:jc w:val="right"/>
              <w:rPr>
                <w:rFonts w:ascii="Verdana" w:hAnsi="Verdana"/>
                <w:noProof/>
                <w:sz w:val="16"/>
                <w:szCs w:val="16"/>
              </w:rPr>
            </w:pPr>
            <w:r w:rsidRPr="009E4DD9">
              <w:rPr>
                <w:rFonts w:ascii="Verdana" w:hAnsi="Verdana"/>
                <w:noProof/>
                <w:sz w:val="16"/>
                <w:szCs w:val="16"/>
              </w:rPr>
              <w:t>0.5</w:t>
            </w:r>
          </w:p>
        </w:tc>
        <w:tc>
          <w:tcPr>
            <w:tcW w:w="992" w:type="dxa"/>
            <w:tcBorders>
              <w:left w:val="nil"/>
              <w:right w:val="nil"/>
            </w:tcBorders>
          </w:tcPr>
          <w:p w:rsidR="00D715D2" w:rsidRPr="00353FCF" w:rsidRDefault="00D715D2" w:rsidP="00D715D2">
            <w:pPr>
              <w:tabs>
                <w:tab w:val="left" w:pos="5245"/>
              </w:tabs>
              <w:spacing w:before="120"/>
              <w:jc w:val="right"/>
              <w:rPr>
                <w:rFonts w:ascii="Verdana" w:hAnsi="Verdana"/>
                <w:noProof/>
                <w:sz w:val="16"/>
                <w:szCs w:val="16"/>
                <w:lang w:val="en-GB"/>
              </w:rPr>
            </w:pPr>
            <w:r w:rsidRPr="00353FCF">
              <w:rPr>
                <w:rFonts w:ascii="Verdana" w:hAnsi="Verdana"/>
                <w:noProof/>
                <w:sz w:val="16"/>
                <w:szCs w:val="16"/>
                <w:lang w:val="en-GB"/>
              </w:rPr>
              <w:t>1</w:t>
            </w:r>
            <w:r>
              <w:rPr>
                <w:rFonts w:ascii="Verdana" w:hAnsi="Verdana"/>
                <w:noProof/>
                <w:sz w:val="16"/>
                <w:szCs w:val="16"/>
                <w:lang w:val="en-GB"/>
              </w:rPr>
              <w:t>.</w:t>
            </w:r>
            <w:r w:rsidRPr="00353FCF">
              <w:rPr>
                <w:rFonts w:ascii="Verdana" w:hAnsi="Verdana"/>
                <w:noProof/>
                <w:sz w:val="16"/>
                <w:szCs w:val="16"/>
                <w:lang w:val="en-GB"/>
              </w:rPr>
              <w:t>3</w:t>
            </w:r>
          </w:p>
        </w:tc>
        <w:tc>
          <w:tcPr>
            <w:tcW w:w="992" w:type="dxa"/>
            <w:tcBorders>
              <w:left w:val="nil"/>
              <w:right w:val="nil"/>
            </w:tcBorders>
          </w:tcPr>
          <w:p w:rsidR="00D715D2" w:rsidRPr="00353FCF" w:rsidRDefault="00D715D2" w:rsidP="00D715D2">
            <w:pPr>
              <w:tabs>
                <w:tab w:val="left" w:pos="5245"/>
              </w:tabs>
              <w:spacing w:before="120"/>
              <w:jc w:val="right"/>
              <w:rPr>
                <w:rFonts w:ascii="Verdana" w:hAnsi="Verdana"/>
                <w:noProof/>
                <w:sz w:val="16"/>
                <w:szCs w:val="16"/>
                <w:lang w:val="en-GB"/>
              </w:rPr>
            </w:pPr>
            <w:r w:rsidRPr="00353FCF">
              <w:rPr>
                <w:rFonts w:ascii="Verdana" w:hAnsi="Verdana"/>
                <w:noProof/>
                <w:sz w:val="16"/>
                <w:szCs w:val="16"/>
                <w:lang w:val="en-GB"/>
              </w:rPr>
              <w:t>1</w:t>
            </w:r>
            <w:r>
              <w:rPr>
                <w:rFonts w:ascii="Verdana" w:hAnsi="Verdana"/>
                <w:noProof/>
                <w:sz w:val="16"/>
                <w:szCs w:val="16"/>
                <w:lang w:val="en-GB"/>
              </w:rPr>
              <w:t>.</w:t>
            </w:r>
            <w:r w:rsidRPr="00353FCF">
              <w:rPr>
                <w:rFonts w:ascii="Verdana" w:hAnsi="Verdana"/>
                <w:noProof/>
                <w:sz w:val="16"/>
                <w:szCs w:val="16"/>
                <w:lang w:val="en-GB"/>
              </w:rPr>
              <w:t>2</w:t>
            </w:r>
          </w:p>
        </w:tc>
        <w:tc>
          <w:tcPr>
            <w:tcW w:w="992" w:type="dxa"/>
            <w:tcBorders>
              <w:left w:val="nil"/>
              <w:right w:val="nil"/>
            </w:tcBorders>
          </w:tcPr>
          <w:p w:rsidR="00D715D2" w:rsidRPr="00353FCF" w:rsidRDefault="00D715D2" w:rsidP="00D715D2">
            <w:pPr>
              <w:tabs>
                <w:tab w:val="left" w:pos="5245"/>
              </w:tabs>
              <w:spacing w:before="120"/>
              <w:jc w:val="right"/>
              <w:rPr>
                <w:rFonts w:ascii="Verdana" w:hAnsi="Verdana"/>
                <w:noProof/>
                <w:sz w:val="16"/>
                <w:szCs w:val="16"/>
                <w:lang w:val="en-GB"/>
              </w:rPr>
            </w:pPr>
            <w:r w:rsidRPr="00353FCF">
              <w:rPr>
                <w:rFonts w:ascii="Verdana" w:hAnsi="Verdana"/>
                <w:noProof/>
                <w:sz w:val="16"/>
                <w:szCs w:val="16"/>
                <w:lang w:val="en-GB"/>
              </w:rPr>
              <w:t>0</w:t>
            </w:r>
            <w:r>
              <w:rPr>
                <w:rFonts w:ascii="Verdana" w:hAnsi="Verdana"/>
                <w:noProof/>
                <w:sz w:val="16"/>
                <w:szCs w:val="16"/>
                <w:lang w:val="en-GB"/>
              </w:rPr>
              <w:t>.</w:t>
            </w:r>
            <w:r w:rsidRPr="00353FCF">
              <w:rPr>
                <w:rFonts w:ascii="Verdana" w:hAnsi="Verdana"/>
                <w:noProof/>
                <w:sz w:val="16"/>
                <w:szCs w:val="16"/>
                <w:lang w:val="en-GB"/>
              </w:rPr>
              <w:t>6</w:t>
            </w:r>
          </w:p>
        </w:tc>
        <w:tc>
          <w:tcPr>
            <w:tcW w:w="993" w:type="dxa"/>
            <w:tcBorders>
              <w:left w:val="nil"/>
              <w:right w:val="nil"/>
            </w:tcBorders>
          </w:tcPr>
          <w:p w:rsidR="00D715D2" w:rsidRPr="00353FCF" w:rsidRDefault="00D715D2" w:rsidP="00D715D2">
            <w:pPr>
              <w:tabs>
                <w:tab w:val="left" w:pos="5245"/>
              </w:tabs>
              <w:spacing w:before="120"/>
              <w:jc w:val="right"/>
              <w:rPr>
                <w:rFonts w:ascii="Verdana" w:hAnsi="Verdana"/>
                <w:noProof/>
                <w:sz w:val="16"/>
                <w:szCs w:val="16"/>
                <w:lang w:val="en-GB"/>
              </w:rPr>
            </w:pPr>
            <w:r w:rsidRPr="00353FCF">
              <w:rPr>
                <w:rFonts w:ascii="Verdana" w:hAnsi="Verdana"/>
                <w:noProof/>
                <w:sz w:val="16"/>
                <w:szCs w:val="16"/>
                <w:lang w:val="en-GB"/>
              </w:rPr>
              <w:t>0</w:t>
            </w:r>
            <w:r>
              <w:rPr>
                <w:rFonts w:ascii="Verdana" w:hAnsi="Verdana"/>
                <w:noProof/>
                <w:sz w:val="16"/>
                <w:szCs w:val="16"/>
                <w:lang w:val="en-GB"/>
              </w:rPr>
              <w:t>.</w:t>
            </w:r>
            <w:r w:rsidRPr="00353FCF">
              <w:rPr>
                <w:rFonts w:ascii="Verdana" w:hAnsi="Verdana"/>
                <w:noProof/>
                <w:sz w:val="16"/>
                <w:szCs w:val="16"/>
                <w:lang w:val="en-GB"/>
              </w:rPr>
              <w:t>7</w:t>
            </w:r>
          </w:p>
        </w:tc>
      </w:tr>
      <w:tr w:rsidR="00D715D2" w:rsidRPr="00353FCF" w:rsidTr="00DD53AC">
        <w:trPr>
          <w:trHeight w:val="285"/>
        </w:trPr>
        <w:tc>
          <w:tcPr>
            <w:tcW w:w="2709" w:type="dxa"/>
            <w:tcBorders>
              <w:left w:val="nil"/>
              <w:right w:val="nil"/>
            </w:tcBorders>
            <w:noWrap/>
            <w:vAlign w:val="bottom"/>
          </w:tcPr>
          <w:p w:rsidR="00D715D2" w:rsidRPr="00353FCF" w:rsidRDefault="00D715D2" w:rsidP="008C342C">
            <w:pPr>
              <w:jc w:val="both"/>
              <w:rPr>
                <w:rFonts w:ascii="Verdana" w:hAnsi="Verdana"/>
                <w:noProof/>
                <w:sz w:val="16"/>
                <w:szCs w:val="16"/>
                <w:lang w:val="en-GB"/>
              </w:rPr>
            </w:pPr>
            <w:r w:rsidRPr="00353FCF">
              <w:rPr>
                <w:rFonts w:ascii="Verdana" w:hAnsi="Verdana"/>
                <w:noProof/>
                <w:sz w:val="16"/>
                <w:szCs w:val="16"/>
                <w:lang w:val="en-GB"/>
              </w:rPr>
              <w:t>Equity ratio</w:t>
            </w:r>
          </w:p>
        </w:tc>
        <w:tc>
          <w:tcPr>
            <w:tcW w:w="1134" w:type="dxa"/>
            <w:tcBorders>
              <w:left w:val="nil"/>
              <w:right w:val="nil"/>
            </w:tcBorders>
          </w:tcPr>
          <w:p w:rsidR="00D715D2" w:rsidRPr="00FA6496" w:rsidRDefault="00D715D2" w:rsidP="00726CCE">
            <w:pPr>
              <w:tabs>
                <w:tab w:val="left" w:pos="5245"/>
              </w:tabs>
              <w:spacing w:before="120"/>
              <w:jc w:val="right"/>
              <w:rPr>
                <w:rFonts w:ascii="Verdana" w:hAnsi="Verdana"/>
                <w:noProof/>
                <w:sz w:val="16"/>
                <w:szCs w:val="16"/>
                <w:highlight w:val="yellow"/>
              </w:rPr>
            </w:pPr>
            <w:r w:rsidRPr="007C7A8D">
              <w:rPr>
                <w:rFonts w:ascii="Verdana" w:hAnsi="Verdana"/>
                <w:noProof/>
                <w:sz w:val="16"/>
                <w:szCs w:val="16"/>
              </w:rPr>
              <w:t>31</w:t>
            </w:r>
            <w:r>
              <w:rPr>
                <w:rFonts w:ascii="Verdana" w:hAnsi="Verdana"/>
                <w:noProof/>
                <w:sz w:val="16"/>
                <w:szCs w:val="16"/>
              </w:rPr>
              <w:t>.</w:t>
            </w:r>
            <w:r w:rsidR="00726CCE">
              <w:rPr>
                <w:rFonts w:ascii="Verdana" w:hAnsi="Verdana"/>
                <w:noProof/>
                <w:sz w:val="16"/>
                <w:szCs w:val="16"/>
              </w:rPr>
              <w:t>1</w:t>
            </w:r>
            <w:r w:rsidRPr="007C7A8D">
              <w:rPr>
                <w:rFonts w:ascii="Verdana" w:hAnsi="Verdana"/>
                <w:noProof/>
                <w:sz w:val="16"/>
                <w:szCs w:val="16"/>
              </w:rPr>
              <w:t>%</w:t>
            </w:r>
          </w:p>
        </w:tc>
        <w:tc>
          <w:tcPr>
            <w:tcW w:w="992" w:type="dxa"/>
            <w:tcBorders>
              <w:left w:val="nil"/>
              <w:right w:val="nil"/>
            </w:tcBorders>
          </w:tcPr>
          <w:p w:rsidR="00D715D2" w:rsidRPr="00353FCF" w:rsidRDefault="00D715D2" w:rsidP="00D715D2">
            <w:pPr>
              <w:tabs>
                <w:tab w:val="left" w:pos="5245"/>
              </w:tabs>
              <w:spacing w:before="120"/>
              <w:jc w:val="right"/>
              <w:rPr>
                <w:rFonts w:ascii="Verdana" w:hAnsi="Verdana"/>
                <w:noProof/>
                <w:sz w:val="16"/>
                <w:szCs w:val="16"/>
                <w:lang w:val="en-GB"/>
              </w:rPr>
            </w:pPr>
            <w:r w:rsidRPr="00353FCF">
              <w:rPr>
                <w:rFonts w:ascii="Verdana" w:hAnsi="Verdana"/>
                <w:noProof/>
                <w:sz w:val="16"/>
                <w:szCs w:val="16"/>
                <w:lang w:val="en-GB"/>
              </w:rPr>
              <w:t>42</w:t>
            </w:r>
            <w:r>
              <w:rPr>
                <w:rFonts w:ascii="Verdana" w:hAnsi="Verdana"/>
                <w:noProof/>
                <w:sz w:val="16"/>
                <w:szCs w:val="16"/>
                <w:lang w:val="en-GB"/>
              </w:rPr>
              <w:t>.</w:t>
            </w:r>
            <w:r w:rsidRPr="00353FCF">
              <w:rPr>
                <w:rFonts w:ascii="Verdana" w:hAnsi="Verdana"/>
                <w:noProof/>
                <w:sz w:val="16"/>
                <w:szCs w:val="16"/>
                <w:lang w:val="en-GB"/>
              </w:rPr>
              <w:t>5%</w:t>
            </w:r>
          </w:p>
        </w:tc>
        <w:tc>
          <w:tcPr>
            <w:tcW w:w="992" w:type="dxa"/>
            <w:tcBorders>
              <w:left w:val="nil"/>
              <w:right w:val="nil"/>
            </w:tcBorders>
          </w:tcPr>
          <w:p w:rsidR="00D715D2" w:rsidRPr="00353FCF" w:rsidRDefault="00D715D2" w:rsidP="00D715D2">
            <w:pPr>
              <w:tabs>
                <w:tab w:val="left" w:pos="5245"/>
              </w:tabs>
              <w:spacing w:before="120"/>
              <w:jc w:val="right"/>
              <w:rPr>
                <w:rFonts w:ascii="Verdana" w:hAnsi="Verdana"/>
                <w:noProof/>
                <w:sz w:val="16"/>
                <w:szCs w:val="16"/>
                <w:lang w:val="en-GB"/>
              </w:rPr>
            </w:pPr>
            <w:r w:rsidRPr="00353FCF">
              <w:rPr>
                <w:rFonts w:ascii="Verdana" w:hAnsi="Verdana"/>
                <w:noProof/>
                <w:sz w:val="16"/>
                <w:szCs w:val="16"/>
                <w:lang w:val="en-GB"/>
              </w:rPr>
              <w:t>39</w:t>
            </w:r>
            <w:r>
              <w:rPr>
                <w:rFonts w:ascii="Verdana" w:hAnsi="Verdana"/>
                <w:noProof/>
                <w:sz w:val="16"/>
                <w:szCs w:val="16"/>
                <w:lang w:val="en-GB"/>
              </w:rPr>
              <w:t>.</w:t>
            </w:r>
            <w:r w:rsidRPr="00353FCF">
              <w:rPr>
                <w:rFonts w:ascii="Verdana" w:hAnsi="Verdana"/>
                <w:noProof/>
                <w:sz w:val="16"/>
                <w:szCs w:val="16"/>
                <w:lang w:val="en-GB"/>
              </w:rPr>
              <w:t>6%</w:t>
            </w:r>
          </w:p>
        </w:tc>
        <w:tc>
          <w:tcPr>
            <w:tcW w:w="992" w:type="dxa"/>
            <w:tcBorders>
              <w:left w:val="nil"/>
              <w:right w:val="nil"/>
            </w:tcBorders>
          </w:tcPr>
          <w:p w:rsidR="00D715D2" w:rsidRPr="00353FCF" w:rsidRDefault="00D715D2" w:rsidP="00D715D2">
            <w:pPr>
              <w:tabs>
                <w:tab w:val="left" w:pos="5245"/>
              </w:tabs>
              <w:spacing w:before="120"/>
              <w:jc w:val="right"/>
              <w:rPr>
                <w:rFonts w:ascii="Verdana" w:hAnsi="Verdana"/>
                <w:noProof/>
                <w:sz w:val="16"/>
                <w:szCs w:val="16"/>
                <w:lang w:val="en-GB"/>
              </w:rPr>
            </w:pPr>
            <w:r w:rsidRPr="00353FCF">
              <w:rPr>
                <w:rFonts w:ascii="Verdana" w:hAnsi="Verdana"/>
                <w:noProof/>
                <w:sz w:val="16"/>
                <w:szCs w:val="16"/>
                <w:lang w:val="en-GB"/>
              </w:rPr>
              <w:t>35</w:t>
            </w:r>
            <w:r>
              <w:rPr>
                <w:rFonts w:ascii="Verdana" w:hAnsi="Verdana"/>
                <w:noProof/>
                <w:sz w:val="16"/>
                <w:szCs w:val="16"/>
                <w:lang w:val="en-GB"/>
              </w:rPr>
              <w:t>.</w:t>
            </w:r>
            <w:r w:rsidRPr="00353FCF">
              <w:rPr>
                <w:rFonts w:ascii="Verdana" w:hAnsi="Verdana"/>
                <w:noProof/>
                <w:sz w:val="16"/>
                <w:szCs w:val="16"/>
                <w:lang w:val="en-GB"/>
              </w:rPr>
              <w:t>7%</w:t>
            </w:r>
          </w:p>
        </w:tc>
        <w:tc>
          <w:tcPr>
            <w:tcW w:w="993" w:type="dxa"/>
            <w:tcBorders>
              <w:left w:val="nil"/>
              <w:right w:val="nil"/>
            </w:tcBorders>
          </w:tcPr>
          <w:p w:rsidR="00D715D2" w:rsidRPr="00353FCF" w:rsidRDefault="00D715D2" w:rsidP="00D715D2">
            <w:pPr>
              <w:tabs>
                <w:tab w:val="left" w:pos="5245"/>
              </w:tabs>
              <w:spacing w:before="120"/>
              <w:jc w:val="right"/>
              <w:rPr>
                <w:rFonts w:ascii="Verdana" w:hAnsi="Verdana"/>
                <w:noProof/>
                <w:sz w:val="16"/>
                <w:szCs w:val="16"/>
                <w:lang w:val="en-GB"/>
              </w:rPr>
            </w:pPr>
            <w:r w:rsidRPr="00353FCF">
              <w:rPr>
                <w:rFonts w:ascii="Verdana" w:hAnsi="Verdana"/>
                <w:noProof/>
                <w:sz w:val="16"/>
                <w:szCs w:val="16"/>
                <w:lang w:val="en-GB"/>
              </w:rPr>
              <w:t>33</w:t>
            </w:r>
            <w:r>
              <w:rPr>
                <w:rFonts w:ascii="Verdana" w:hAnsi="Verdana"/>
                <w:noProof/>
                <w:sz w:val="16"/>
                <w:szCs w:val="16"/>
                <w:lang w:val="en-GB"/>
              </w:rPr>
              <w:t>.</w:t>
            </w:r>
            <w:r w:rsidRPr="00353FCF">
              <w:rPr>
                <w:rFonts w:ascii="Verdana" w:hAnsi="Verdana"/>
                <w:noProof/>
                <w:sz w:val="16"/>
                <w:szCs w:val="16"/>
                <w:lang w:val="en-GB"/>
              </w:rPr>
              <w:t>1%</w:t>
            </w:r>
          </w:p>
        </w:tc>
      </w:tr>
      <w:tr w:rsidR="00D715D2" w:rsidRPr="00353FCF" w:rsidTr="00DD53AC">
        <w:trPr>
          <w:trHeight w:val="812"/>
        </w:trPr>
        <w:tc>
          <w:tcPr>
            <w:tcW w:w="2709" w:type="dxa"/>
            <w:tcBorders>
              <w:left w:val="nil"/>
              <w:right w:val="nil"/>
            </w:tcBorders>
            <w:noWrap/>
            <w:vAlign w:val="bottom"/>
          </w:tcPr>
          <w:p w:rsidR="00D715D2" w:rsidRPr="00353FCF" w:rsidRDefault="00D715D2" w:rsidP="008C342C">
            <w:pPr>
              <w:rPr>
                <w:rFonts w:ascii="Verdana" w:hAnsi="Verdana"/>
                <w:noProof/>
                <w:sz w:val="16"/>
                <w:szCs w:val="16"/>
                <w:lang w:val="en-GB"/>
              </w:rPr>
            </w:pPr>
            <w:r w:rsidRPr="00353FCF">
              <w:rPr>
                <w:rFonts w:ascii="Verdana" w:hAnsi="Verdana"/>
                <w:noProof/>
                <w:sz w:val="16"/>
                <w:szCs w:val="16"/>
                <w:lang w:val="en-GB"/>
              </w:rPr>
              <w:t>Market cap. in millions of EUR based on exchange rate at end of period</w:t>
            </w:r>
          </w:p>
        </w:tc>
        <w:tc>
          <w:tcPr>
            <w:tcW w:w="1134" w:type="dxa"/>
            <w:tcBorders>
              <w:left w:val="nil"/>
              <w:right w:val="nil"/>
            </w:tcBorders>
            <w:vAlign w:val="bottom"/>
          </w:tcPr>
          <w:p w:rsidR="00D715D2" w:rsidRPr="00FA6496" w:rsidRDefault="00D715D2" w:rsidP="00D715D2">
            <w:pPr>
              <w:jc w:val="right"/>
              <w:rPr>
                <w:rFonts w:ascii="Verdana" w:hAnsi="Verdana"/>
                <w:noProof/>
                <w:sz w:val="16"/>
                <w:szCs w:val="16"/>
                <w:highlight w:val="yellow"/>
              </w:rPr>
            </w:pPr>
            <w:r w:rsidRPr="009E32CE">
              <w:rPr>
                <w:rFonts w:ascii="Verdana" w:hAnsi="Verdana"/>
                <w:noProof/>
                <w:sz w:val="16"/>
                <w:szCs w:val="16"/>
              </w:rPr>
              <w:t>265</w:t>
            </w:r>
            <w:r>
              <w:rPr>
                <w:rFonts w:ascii="Verdana" w:hAnsi="Verdana"/>
                <w:noProof/>
                <w:sz w:val="16"/>
                <w:szCs w:val="16"/>
              </w:rPr>
              <w:t>.</w:t>
            </w:r>
            <w:r w:rsidRPr="009E32CE">
              <w:rPr>
                <w:rFonts w:ascii="Verdana" w:hAnsi="Verdana"/>
                <w:noProof/>
                <w:sz w:val="16"/>
                <w:szCs w:val="16"/>
              </w:rPr>
              <w:t>8</w:t>
            </w:r>
          </w:p>
        </w:tc>
        <w:tc>
          <w:tcPr>
            <w:tcW w:w="992" w:type="dxa"/>
            <w:tcBorders>
              <w:left w:val="nil"/>
              <w:right w:val="nil"/>
            </w:tcBorders>
            <w:vAlign w:val="bottom"/>
          </w:tcPr>
          <w:p w:rsidR="00D715D2" w:rsidRPr="00353FCF" w:rsidRDefault="00D715D2" w:rsidP="00D715D2">
            <w:pPr>
              <w:jc w:val="right"/>
              <w:rPr>
                <w:rFonts w:ascii="Verdana" w:hAnsi="Verdana"/>
                <w:noProof/>
                <w:sz w:val="16"/>
                <w:szCs w:val="16"/>
                <w:lang w:val="en-GB"/>
              </w:rPr>
            </w:pPr>
            <w:r w:rsidRPr="00353FCF">
              <w:rPr>
                <w:rFonts w:ascii="Verdana" w:hAnsi="Verdana"/>
                <w:noProof/>
                <w:sz w:val="16"/>
                <w:szCs w:val="16"/>
                <w:lang w:val="en-GB"/>
              </w:rPr>
              <w:t>449</w:t>
            </w:r>
            <w:r>
              <w:rPr>
                <w:rFonts w:ascii="Verdana" w:hAnsi="Verdana"/>
                <w:noProof/>
                <w:sz w:val="16"/>
                <w:szCs w:val="16"/>
                <w:lang w:val="en-GB"/>
              </w:rPr>
              <w:t>.</w:t>
            </w:r>
            <w:r w:rsidRPr="00353FCF">
              <w:rPr>
                <w:rFonts w:ascii="Verdana" w:hAnsi="Verdana"/>
                <w:noProof/>
                <w:sz w:val="16"/>
                <w:szCs w:val="16"/>
                <w:lang w:val="en-GB"/>
              </w:rPr>
              <w:t>5</w:t>
            </w:r>
          </w:p>
        </w:tc>
        <w:tc>
          <w:tcPr>
            <w:tcW w:w="992" w:type="dxa"/>
            <w:tcBorders>
              <w:left w:val="nil"/>
              <w:right w:val="nil"/>
            </w:tcBorders>
            <w:vAlign w:val="bottom"/>
          </w:tcPr>
          <w:p w:rsidR="00D715D2" w:rsidRPr="00353FCF" w:rsidRDefault="00D715D2" w:rsidP="00D715D2">
            <w:pPr>
              <w:jc w:val="right"/>
              <w:rPr>
                <w:rFonts w:ascii="Verdana" w:hAnsi="Verdana"/>
                <w:noProof/>
                <w:sz w:val="16"/>
                <w:szCs w:val="16"/>
                <w:lang w:val="en-GB"/>
              </w:rPr>
            </w:pPr>
            <w:r w:rsidRPr="00353FCF">
              <w:rPr>
                <w:rFonts w:ascii="Verdana" w:hAnsi="Verdana"/>
                <w:noProof/>
                <w:sz w:val="16"/>
                <w:szCs w:val="16"/>
                <w:lang w:val="en-GB"/>
              </w:rPr>
              <w:t>302</w:t>
            </w:r>
            <w:r>
              <w:rPr>
                <w:rFonts w:ascii="Verdana" w:hAnsi="Verdana"/>
                <w:noProof/>
                <w:sz w:val="16"/>
                <w:szCs w:val="16"/>
                <w:lang w:val="en-GB"/>
              </w:rPr>
              <w:t>.</w:t>
            </w:r>
            <w:r w:rsidRPr="00353FCF">
              <w:rPr>
                <w:rFonts w:ascii="Verdana" w:hAnsi="Verdana"/>
                <w:noProof/>
                <w:sz w:val="16"/>
                <w:szCs w:val="16"/>
                <w:lang w:val="en-GB"/>
              </w:rPr>
              <w:t>6</w:t>
            </w:r>
          </w:p>
        </w:tc>
        <w:tc>
          <w:tcPr>
            <w:tcW w:w="992" w:type="dxa"/>
            <w:tcBorders>
              <w:left w:val="nil"/>
              <w:right w:val="nil"/>
            </w:tcBorders>
            <w:vAlign w:val="bottom"/>
          </w:tcPr>
          <w:p w:rsidR="00D715D2" w:rsidRPr="00353FCF" w:rsidRDefault="00D715D2" w:rsidP="00D715D2">
            <w:pPr>
              <w:jc w:val="right"/>
              <w:rPr>
                <w:rFonts w:ascii="Verdana" w:hAnsi="Verdana"/>
                <w:noProof/>
                <w:sz w:val="16"/>
                <w:szCs w:val="16"/>
                <w:lang w:val="en-GB"/>
              </w:rPr>
            </w:pPr>
            <w:r w:rsidRPr="00353FCF">
              <w:rPr>
                <w:rFonts w:ascii="Verdana" w:hAnsi="Verdana"/>
                <w:noProof/>
                <w:sz w:val="16"/>
                <w:szCs w:val="16"/>
                <w:lang w:val="en-GB"/>
              </w:rPr>
              <w:t>209</w:t>
            </w:r>
            <w:r>
              <w:rPr>
                <w:rFonts w:ascii="Verdana" w:hAnsi="Verdana"/>
                <w:noProof/>
                <w:sz w:val="16"/>
                <w:szCs w:val="16"/>
                <w:lang w:val="en-GB"/>
              </w:rPr>
              <w:t>.</w:t>
            </w:r>
            <w:r w:rsidRPr="00353FCF">
              <w:rPr>
                <w:rFonts w:ascii="Verdana" w:hAnsi="Verdana"/>
                <w:noProof/>
                <w:sz w:val="16"/>
                <w:szCs w:val="16"/>
                <w:lang w:val="en-GB"/>
              </w:rPr>
              <w:t>5</w:t>
            </w:r>
          </w:p>
        </w:tc>
        <w:tc>
          <w:tcPr>
            <w:tcW w:w="993" w:type="dxa"/>
            <w:tcBorders>
              <w:left w:val="nil"/>
              <w:right w:val="nil"/>
            </w:tcBorders>
            <w:vAlign w:val="bottom"/>
          </w:tcPr>
          <w:p w:rsidR="00D715D2" w:rsidRPr="00353FCF" w:rsidRDefault="00D715D2" w:rsidP="00D715D2">
            <w:pPr>
              <w:jc w:val="right"/>
              <w:rPr>
                <w:rFonts w:ascii="Verdana" w:hAnsi="Verdana"/>
                <w:noProof/>
                <w:sz w:val="16"/>
                <w:szCs w:val="16"/>
                <w:lang w:val="en-GB"/>
              </w:rPr>
            </w:pPr>
            <w:r w:rsidRPr="00353FCF">
              <w:rPr>
                <w:rFonts w:ascii="Verdana" w:hAnsi="Verdana"/>
                <w:noProof/>
                <w:sz w:val="16"/>
                <w:szCs w:val="16"/>
                <w:lang w:val="en-GB"/>
              </w:rPr>
              <w:t>141</w:t>
            </w:r>
            <w:r>
              <w:rPr>
                <w:rFonts w:ascii="Verdana" w:hAnsi="Verdana"/>
                <w:noProof/>
                <w:sz w:val="16"/>
                <w:szCs w:val="16"/>
                <w:lang w:val="en-GB"/>
              </w:rPr>
              <w:t>,</w:t>
            </w:r>
            <w:r w:rsidRPr="00353FCF">
              <w:rPr>
                <w:rFonts w:ascii="Verdana" w:hAnsi="Verdana"/>
                <w:noProof/>
                <w:sz w:val="16"/>
                <w:szCs w:val="16"/>
                <w:lang w:val="en-GB"/>
              </w:rPr>
              <w:t>6</w:t>
            </w:r>
          </w:p>
        </w:tc>
      </w:tr>
    </w:tbl>
    <w:p w:rsidR="00BE39E3" w:rsidRPr="00353FCF" w:rsidRDefault="00BE39E3" w:rsidP="00DB04EA">
      <w:pPr>
        <w:autoSpaceDE w:val="0"/>
        <w:autoSpaceDN w:val="0"/>
        <w:adjustRightInd w:val="0"/>
        <w:rPr>
          <w:rFonts w:ascii="Verdana" w:hAnsi="Verdana" w:cs="Verdana"/>
          <w:b/>
          <w:bCs/>
          <w:color w:val="000000"/>
          <w:sz w:val="22"/>
          <w:szCs w:val="22"/>
          <w:lang w:val="en-GB"/>
        </w:rPr>
      </w:pPr>
    </w:p>
    <w:p w:rsidR="00DE7755" w:rsidRPr="00353FCF" w:rsidRDefault="00DE7755" w:rsidP="00DB04EA">
      <w:pPr>
        <w:autoSpaceDE w:val="0"/>
        <w:autoSpaceDN w:val="0"/>
        <w:adjustRightInd w:val="0"/>
        <w:rPr>
          <w:rFonts w:ascii="Verdana" w:hAnsi="Verdana" w:cs="Verdana"/>
          <w:b/>
          <w:bCs/>
          <w:color w:val="000000"/>
          <w:sz w:val="22"/>
          <w:szCs w:val="22"/>
          <w:lang w:val="en-GB"/>
        </w:rPr>
      </w:pPr>
    </w:p>
    <w:p w:rsidR="008C342C" w:rsidRPr="00353FCF" w:rsidRDefault="008C342C" w:rsidP="008C342C">
      <w:pPr>
        <w:autoSpaceDE w:val="0"/>
        <w:autoSpaceDN w:val="0"/>
        <w:adjustRightInd w:val="0"/>
        <w:rPr>
          <w:rFonts w:ascii="Verdana" w:hAnsi="Verdana" w:cs="Verdana"/>
          <w:b/>
          <w:bCs/>
          <w:color w:val="000000"/>
          <w:sz w:val="22"/>
          <w:szCs w:val="22"/>
          <w:lang w:val="en-GB"/>
        </w:rPr>
      </w:pPr>
      <w:r w:rsidRPr="00353FCF">
        <w:rPr>
          <w:rFonts w:ascii="Verdana" w:hAnsi="Verdana" w:cs="Verdana"/>
          <w:b/>
          <w:bCs/>
          <w:color w:val="000000"/>
          <w:sz w:val="22"/>
          <w:szCs w:val="22"/>
          <w:lang w:val="en-GB"/>
        </w:rPr>
        <w:t>Presentation of results 11 February 2009</w:t>
      </w:r>
    </w:p>
    <w:p w:rsidR="008C342C" w:rsidRPr="00353FCF" w:rsidRDefault="008C342C" w:rsidP="008C342C">
      <w:pPr>
        <w:autoSpaceDE w:val="0"/>
        <w:autoSpaceDN w:val="0"/>
        <w:adjustRightInd w:val="0"/>
        <w:rPr>
          <w:rFonts w:ascii="Verdana" w:hAnsi="Verdana" w:cs="Verdana"/>
          <w:b/>
          <w:bCs/>
          <w:color w:val="000000"/>
          <w:sz w:val="23"/>
          <w:szCs w:val="23"/>
          <w:lang w:val="en-GB"/>
        </w:rPr>
      </w:pPr>
    </w:p>
    <w:p w:rsidR="008C342C" w:rsidRPr="00353FCF" w:rsidRDefault="008C342C" w:rsidP="00A41103">
      <w:pPr>
        <w:autoSpaceDE w:val="0"/>
        <w:autoSpaceDN w:val="0"/>
        <w:adjustRightInd w:val="0"/>
        <w:jc w:val="both"/>
        <w:rPr>
          <w:rFonts w:ascii="Verdana" w:hAnsi="Verdana" w:cs="Verdana"/>
          <w:sz w:val="16"/>
          <w:szCs w:val="16"/>
          <w:lang w:val="en-GB"/>
        </w:rPr>
      </w:pPr>
      <w:r w:rsidRPr="00353FCF">
        <w:rPr>
          <w:rFonts w:ascii="Verdana" w:hAnsi="Verdana" w:cs="Verdana"/>
          <w:sz w:val="16"/>
          <w:szCs w:val="16"/>
          <w:lang w:val="en-GB"/>
        </w:rPr>
        <w:t>Marel Food Systems will present performance results at a meeting on Wednesday, 11 February 2009, at 8:30 a.m., at the company‘s headquarters at Austurhraun 9, Gardabaer.</w:t>
      </w:r>
    </w:p>
    <w:p w:rsidR="008C342C" w:rsidRPr="00353FCF" w:rsidRDefault="008C342C" w:rsidP="00DB04EA">
      <w:pPr>
        <w:autoSpaceDE w:val="0"/>
        <w:autoSpaceDN w:val="0"/>
        <w:adjustRightInd w:val="0"/>
        <w:rPr>
          <w:rFonts w:ascii="Verdana" w:hAnsi="Verdana" w:cs="Verdana"/>
          <w:color w:val="000000"/>
          <w:sz w:val="16"/>
          <w:szCs w:val="16"/>
          <w:lang w:val="en-GB"/>
        </w:rPr>
      </w:pPr>
    </w:p>
    <w:p w:rsidR="00BE39E3" w:rsidRDefault="00BE39E3" w:rsidP="00DB04EA">
      <w:pPr>
        <w:autoSpaceDE w:val="0"/>
        <w:autoSpaceDN w:val="0"/>
        <w:adjustRightInd w:val="0"/>
        <w:rPr>
          <w:rFonts w:ascii="Verdana" w:hAnsi="Verdana" w:cs="Verdana"/>
          <w:color w:val="000000"/>
          <w:sz w:val="16"/>
          <w:szCs w:val="16"/>
          <w:lang w:val="en-GB"/>
        </w:rPr>
      </w:pPr>
    </w:p>
    <w:p w:rsidR="00C8268C" w:rsidRDefault="00C8268C" w:rsidP="00DB04EA">
      <w:pPr>
        <w:autoSpaceDE w:val="0"/>
        <w:autoSpaceDN w:val="0"/>
        <w:adjustRightInd w:val="0"/>
        <w:rPr>
          <w:rFonts w:ascii="Verdana" w:hAnsi="Verdana" w:cs="Verdana"/>
          <w:color w:val="000000"/>
          <w:sz w:val="16"/>
          <w:szCs w:val="16"/>
          <w:lang w:val="en-GB"/>
        </w:rPr>
      </w:pPr>
    </w:p>
    <w:p w:rsidR="00C8268C" w:rsidRPr="00353FCF" w:rsidRDefault="00C8268C" w:rsidP="00DB04EA">
      <w:pPr>
        <w:autoSpaceDE w:val="0"/>
        <w:autoSpaceDN w:val="0"/>
        <w:adjustRightInd w:val="0"/>
        <w:rPr>
          <w:rFonts w:ascii="Verdana" w:hAnsi="Verdana" w:cs="Verdana"/>
          <w:color w:val="000000"/>
          <w:sz w:val="16"/>
          <w:szCs w:val="16"/>
          <w:lang w:val="en-GB"/>
        </w:rPr>
      </w:pPr>
    </w:p>
    <w:p w:rsidR="0068424C" w:rsidRPr="00353FCF" w:rsidRDefault="0068424C" w:rsidP="0068424C">
      <w:pPr>
        <w:autoSpaceDE w:val="0"/>
        <w:autoSpaceDN w:val="0"/>
        <w:adjustRightInd w:val="0"/>
        <w:rPr>
          <w:rFonts w:ascii="Verdana" w:hAnsi="Verdana" w:cs="Verdana"/>
          <w:b/>
          <w:bCs/>
          <w:color w:val="000000"/>
          <w:sz w:val="22"/>
          <w:szCs w:val="22"/>
          <w:lang w:val="en-GB"/>
        </w:rPr>
      </w:pPr>
      <w:r w:rsidRPr="00353FCF">
        <w:rPr>
          <w:rFonts w:ascii="Verdana" w:hAnsi="Verdana" w:cs="Verdana"/>
          <w:b/>
          <w:bCs/>
          <w:color w:val="000000"/>
          <w:sz w:val="22"/>
          <w:szCs w:val="22"/>
          <w:lang w:val="en-GB"/>
        </w:rPr>
        <w:t>Publication days of the Consolidated Financial Statements in 2009 and the Annual General Meeting 2010</w:t>
      </w:r>
    </w:p>
    <w:p w:rsidR="0068424C" w:rsidRPr="00353FCF" w:rsidRDefault="0068424C" w:rsidP="0068424C">
      <w:pPr>
        <w:autoSpaceDE w:val="0"/>
        <w:autoSpaceDN w:val="0"/>
        <w:adjustRightInd w:val="0"/>
        <w:rPr>
          <w:rFonts w:ascii="Verdana" w:hAnsi="Verdana" w:cs="Verdana"/>
          <w:color w:val="000000"/>
          <w:sz w:val="16"/>
          <w:szCs w:val="16"/>
          <w:lang w:val="en-GB"/>
        </w:rPr>
      </w:pPr>
    </w:p>
    <w:p w:rsidR="0068424C" w:rsidRPr="00353FCF" w:rsidRDefault="0068424C" w:rsidP="0068424C">
      <w:pPr>
        <w:autoSpaceDE w:val="0"/>
        <w:autoSpaceDN w:val="0"/>
        <w:adjustRightInd w:val="0"/>
        <w:rPr>
          <w:rFonts w:ascii="Verdana" w:hAnsi="Verdana" w:cs="Verdana"/>
          <w:color w:val="000000"/>
          <w:sz w:val="16"/>
          <w:szCs w:val="16"/>
          <w:lang w:val="en-GB"/>
        </w:rPr>
      </w:pPr>
      <w:r w:rsidRPr="00353FCF">
        <w:rPr>
          <w:rFonts w:ascii="Verdana" w:hAnsi="Verdana" w:cs="Verdana"/>
          <w:color w:val="000000"/>
          <w:sz w:val="16"/>
          <w:szCs w:val="16"/>
          <w:lang w:val="en-GB"/>
        </w:rPr>
        <w:t>Publication dates of the Financial Statements for 2009:</w:t>
      </w:r>
    </w:p>
    <w:p w:rsidR="0068424C" w:rsidRPr="00353FCF" w:rsidRDefault="0068424C" w:rsidP="0068424C">
      <w:pPr>
        <w:autoSpaceDE w:val="0"/>
        <w:autoSpaceDN w:val="0"/>
        <w:adjustRightInd w:val="0"/>
        <w:rPr>
          <w:rFonts w:ascii="Verdana" w:hAnsi="Verdana" w:cs="Verdana"/>
          <w:color w:val="000000"/>
          <w:sz w:val="16"/>
          <w:szCs w:val="16"/>
          <w:lang w:val="en-GB"/>
        </w:rPr>
      </w:pPr>
    </w:p>
    <w:p w:rsidR="0068424C" w:rsidRPr="00353FCF" w:rsidRDefault="0068424C" w:rsidP="0068424C">
      <w:pPr>
        <w:autoSpaceDE w:val="0"/>
        <w:autoSpaceDN w:val="0"/>
        <w:adjustRightInd w:val="0"/>
        <w:rPr>
          <w:rFonts w:ascii="Verdana" w:hAnsi="Verdana" w:cs="Verdana"/>
          <w:color w:val="000000"/>
          <w:sz w:val="16"/>
          <w:szCs w:val="16"/>
          <w:lang w:val="en-GB"/>
        </w:rPr>
      </w:pPr>
      <w:r w:rsidRPr="00353FCF">
        <w:rPr>
          <w:rFonts w:ascii="Verdana" w:hAnsi="Verdana" w:cs="Verdana"/>
          <w:color w:val="000000"/>
          <w:sz w:val="16"/>
          <w:szCs w:val="16"/>
          <w:lang w:val="en-GB"/>
        </w:rPr>
        <w:t>Annual General Meeting of Marel Food Systems hf</w:t>
      </w:r>
      <w:r w:rsidRPr="00353FCF">
        <w:rPr>
          <w:rFonts w:ascii="Verdana" w:hAnsi="Verdana" w:cs="Verdana"/>
          <w:color w:val="000000"/>
          <w:sz w:val="16"/>
          <w:szCs w:val="16"/>
          <w:lang w:val="en-GB"/>
        </w:rPr>
        <w:tab/>
        <w:t>10 March 2009</w:t>
      </w:r>
    </w:p>
    <w:p w:rsidR="008C342C" w:rsidRPr="00353FCF" w:rsidRDefault="008C342C" w:rsidP="008C342C">
      <w:pPr>
        <w:autoSpaceDE w:val="0"/>
        <w:autoSpaceDN w:val="0"/>
        <w:adjustRightInd w:val="0"/>
        <w:rPr>
          <w:rFonts w:ascii="Verdana" w:hAnsi="Verdana" w:cs="Verdana"/>
          <w:color w:val="000000"/>
          <w:sz w:val="16"/>
          <w:szCs w:val="16"/>
          <w:lang w:val="en-GB"/>
        </w:rPr>
      </w:pPr>
    </w:p>
    <w:p w:rsidR="0068424C" w:rsidRPr="00353FCF" w:rsidRDefault="0068424C" w:rsidP="008C342C">
      <w:pPr>
        <w:autoSpaceDE w:val="0"/>
        <w:autoSpaceDN w:val="0"/>
        <w:adjustRightInd w:val="0"/>
        <w:rPr>
          <w:rFonts w:ascii="Verdana" w:hAnsi="Verdana" w:cs="Verdana"/>
          <w:color w:val="000000"/>
          <w:sz w:val="16"/>
          <w:szCs w:val="16"/>
          <w:lang w:val="en-GB"/>
        </w:rPr>
      </w:pPr>
      <w:r w:rsidRPr="00353FCF">
        <w:rPr>
          <w:rFonts w:ascii="Verdana" w:hAnsi="Verdana" w:cs="Verdana"/>
          <w:color w:val="000000"/>
          <w:sz w:val="16"/>
          <w:szCs w:val="16"/>
          <w:lang w:val="en-GB"/>
        </w:rPr>
        <w:t>1</w:t>
      </w:r>
      <w:r w:rsidRPr="00353FCF">
        <w:rPr>
          <w:rFonts w:ascii="Verdana" w:hAnsi="Verdana" w:cs="Verdana"/>
          <w:color w:val="000000"/>
          <w:sz w:val="16"/>
          <w:szCs w:val="16"/>
          <w:vertAlign w:val="superscript"/>
          <w:lang w:val="en-GB"/>
        </w:rPr>
        <w:t>st</w:t>
      </w:r>
      <w:r w:rsidRPr="00353FCF">
        <w:rPr>
          <w:rFonts w:ascii="Verdana" w:hAnsi="Verdana" w:cs="Verdana"/>
          <w:color w:val="000000"/>
          <w:sz w:val="16"/>
          <w:szCs w:val="16"/>
          <w:lang w:val="en-GB"/>
        </w:rPr>
        <w:t xml:space="preserve"> quarter</w:t>
      </w:r>
      <w:r w:rsidRPr="00353FCF">
        <w:rPr>
          <w:rFonts w:ascii="Verdana" w:hAnsi="Verdana" w:cs="Verdana"/>
          <w:color w:val="000000"/>
          <w:sz w:val="16"/>
          <w:szCs w:val="16"/>
          <w:lang w:val="en-GB"/>
        </w:rPr>
        <w:tab/>
      </w:r>
      <w:r w:rsidRPr="00353FCF">
        <w:rPr>
          <w:rFonts w:ascii="Verdana" w:hAnsi="Verdana" w:cs="Verdana"/>
          <w:color w:val="000000"/>
          <w:sz w:val="16"/>
          <w:szCs w:val="16"/>
          <w:lang w:val="en-GB"/>
        </w:rPr>
        <w:tab/>
      </w:r>
      <w:r w:rsidRPr="00353FCF">
        <w:rPr>
          <w:rFonts w:ascii="Verdana" w:hAnsi="Verdana" w:cs="Verdana"/>
          <w:color w:val="000000"/>
          <w:sz w:val="16"/>
          <w:szCs w:val="16"/>
          <w:lang w:val="en-GB"/>
        </w:rPr>
        <w:tab/>
      </w:r>
      <w:r w:rsidRPr="00353FCF">
        <w:rPr>
          <w:rFonts w:ascii="Verdana" w:hAnsi="Verdana" w:cs="Verdana"/>
          <w:color w:val="000000"/>
          <w:sz w:val="16"/>
          <w:szCs w:val="16"/>
          <w:lang w:val="en-GB"/>
        </w:rPr>
        <w:tab/>
      </w:r>
      <w:r w:rsidRPr="00353FCF">
        <w:rPr>
          <w:rFonts w:ascii="Verdana" w:hAnsi="Verdana" w:cs="Verdana"/>
          <w:color w:val="000000"/>
          <w:sz w:val="16"/>
          <w:szCs w:val="16"/>
          <w:lang w:val="en-GB"/>
        </w:rPr>
        <w:tab/>
        <w:t>6 May 2009</w:t>
      </w:r>
    </w:p>
    <w:p w:rsidR="0068424C" w:rsidRPr="00353FCF" w:rsidRDefault="0068424C" w:rsidP="008C342C">
      <w:pPr>
        <w:autoSpaceDE w:val="0"/>
        <w:autoSpaceDN w:val="0"/>
        <w:adjustRightInd w:val="0"/>
        <w:rPr>
          <w:rFonts w:ascii="Verdana" w:hAnsi="Verdana" w:cs="Verdana"/>
          <w:color w:val="000000"/>
          <w:sz w:val="16"/>
          <w:szCs w:val="16"/>
          <w:lang w:val="en-GB"/>
        </w:rPr>
      </w:pPr>
      <w:r w:rsidRPr="00353FCF">
        <w:rPr>
          <w:rFonts w:ascii="Verdana" w:hAnsi="Verdana" w:cs="Verdana"/>
          <w:color w:val="000000"/>
          <w:sz w:val="16"/>
          <w:szCs w:val="16"/>
          <w:lang w:val="en-GB"/>
        </w:rPr>
        <w:t>2</w:t>
      </w:r>
      <w:r w:rsidRPr="00353FCF">
        <w:rPr>
          <w:rFonts w:ascii="Verdana" w:hAnsi="Verdana" w:cs="Verdana"/>
          <w:color w:val="000000"/>
          <w:sz w:val="16"/>
          <w:szCs w:val="16"/>
          <w:vertAlign w:val="superscript"/>
          <w:lang w:val="en-GB"/>
        </w:rPr>
        <w:t>nd</w:t>
      </w:r>
      <w:r w:rsidRPr="00353FCF">
        <w:rPr>
          <w:rFonts w:ascii="Verdana" w:hAnsi="Verdana" w:cs="Verdana"/>
          <w:color w:val="000000"/>
          <w:sz w:val="16"/>
          <w:szCs w:val="16"/>
          <w:lang w:val="en-GB"/>
        </w:rPr>
        <w:t xml:space="preserve"> quarter</w:t>
      </w:r>
      <w:r w:rsidRPr="00353FCF">
        <w:rPr>
          <w:rFonts w:ascii="Verdana" w:hAnsi="Verdana" w:cs="Verdana"/>
          <w:color w:val="000000"/>
          <w:sz w:val="16"/>
          <w:szCs w:val="16"/>
          <w:lang w:val="en-GB"/>
        </w:rPr>
        <w:tab/>
      </w:r>
      <w:r w:rsidRPr="00353FCF">
        <w:rPr>
          <w:rFonts w:ascii="Verdana" w:hAnsi="Verdana" w:cs="Verdana"/>
          <w:color w:val="000000"/>
          <w:sz w:val="16"/>
          <w:szCs w:val="16"/>
          <w:lang w:val="en-GB"/>
        </w:rPr>
        <w:tab/>
      </w:r>
      <w:r w:rsidRPr="00353FCF">
        <w:rPr>
          <w:rFonts w:ascii="Verdana" w:hAnsi="Verdana" w:cs="Verdana"/>
          <w:color w:val="000000"/>
          <w:sz w:val="16"/>
          <w:szCs w:val="16"/>
          <w:lang w:val="en-GB"/>
        </w:rPr>
        <w:tab/>
      </w:r>
      <w:r w:rsidRPr="00353FCF">
        <w:rPr>
          <w:rFonts w:ascii="Verdana" w:hAnsi="Verdana" w:cs="Verdana"/>
          <w:color w:val="000000"/>
          <w:sz w:val="16"/>
          <w:szCs w:val="16"/>
          <w:lang w:val="en-GB"/>
        </w:rPr>
        <w:tab/>
      </w:r>
      <w:r w:rsidRPr="00353FCF">
        <w:rPr>
          <w:rFonts w:ascii="Verdana" w:hAnsi="Verdana" w:cs="Verdana"/>
          <w:color w:val="000000"/>
          <w:sz w:val="16"/>
          <w:szCs w:val="16"/>
          <w:lang w:val="en-GB"/>
        </w:rPr>
        <w:tab/>
        <w:t>6 August 2009</w:t>
      </w:r>
    </w:p>
    <w:p w:rsidR="0068424C" w:rsidRPr="00353FCF" w:rsidRDefault="0068424C" w:rsidP="008C342C">
      <w:pPr>
        <w:autoSpaceDE w:val="0"/>
        <w:autoSpaceDN w:val="0"/>
        <w:adjustRightInd w:val="0"/>
        <w:rPr>
          <w:rFonts w:ascii="Verdana" w:hAnsi="Verdana" w:cs="Verdana"/>
          <w:color w:val="000000"/>
          <w:sz w:val="16"/>
          <w:szCs w:val="16"/>
          <w:lang w:val="en-GB"/>
        </w:rPr>
      </w:pPr>
      <w:r w:rsidRPr="00353FCF">
        <w:rPr>
          <w:rFonts w:ascii="Verdana" w:hAnsi="Verdana" w:cs="Verdana"/>
          <w:color w:val="000000"/>
          <w:sz w:val="16"/>
          <w:szCs w:val="16"/>
          <w:lang w:val="en-GB"/>
        </w:rPr>
        <w:t>3</w:t>
      </w:r>
      <w:r w:rsidRPr="00353FCF">
        <w:rPr>
          <w:rFonts w:ascii="Verdana" w:hAnsi="Verdana" w:cs="Verdana"/>
          <w:color w:val="000000"/>
          <w:sz w:val="16"/>
          <w:szCs w:val="16"/>
          <w:vertAlign w:val="superscript"/>
          <w:lang w:val="en-GB"/>
        </w:rPr>
        <w:t>rd</w:t>
      </w:r>
      <w:r w:rsidRPr="00353FCF">
        <w:rPr>
          <w:rFonts w:ascii="Verdana" w:hAnsi="Verdana" w:cs="Verdana"/>
          <w:color w:val="000000"/>
          <w:sz w:val="16"/>
          <w:szCs w:val="16"/>
          <w:lang w:val="en-GB"/>
        </w:rPr>
        <w:t xml:space="preserve"> quarter</w:t>
      </w:r>
      <w:r w:rsidRPr="00353FCF">
        <w:rPr>
          <w:rFonts w:ascii="Verdana" w:hAnsi="Verdana" w:cs="Verdana"/>
          <w:color w:val="000000"/>
          <w:sz w:val="16"/>
          <w:szCs w:val="16"/>
          <w:lang w:val="en-GB"/>
        </w:rPr>
        <w:tab/>
      </w:r>
      <w:r w:rsidRPr="00353FCF">
        <w:rPr>
          <w:rFonts w:ascii="Verdana" w:hAnsi="Verdana" w:cs="Verdana"/>
          <w:color w:val="000000"/>
          <w:sz w:val="16"/>
          <w:szCs w:val="16"/>
          <w:lang w:val="en-GB"/>
        </w:rPr>
        <w:tab/>
      </w:r>
      <w:r w:rsidRPr="00353FCF">
        <w:rPr>
          <w:rFonts w:ascii="Verdana" w:hAnsi="Verdana" w:cs="Verdana"/>
          <w:color w:val="000000"/>
          <w:sz w:val="16"/>
          <w:szCs w:val="16"/>
          <w:lang w:val="en-GB"/>
        </w:rPr>
        <w:tab/>
      </w:r>
      <w:r w:rsidRPr="00353FCF">
        <w:rPr>
          <w:rFonts w:ascii="Verdana" w:hAnsi="Verdana" w:cs="Verdana"/>
          <w:color w:val="000000"/>
          <w:sz w:val="16"/>
          <w:szCs w:val="16"/>
          <w:lang w:val="en-GB"/>
        </w:rPr>
        <w:tab/>
      </w:r>
      <w:r w:rsidRPr="00353FCF">
        <w:rPr>
          <w:rFonts w:ascii="Verdana" w:hAnsi="Verdana" w:cs="Verdana"/>
          <w:color w:val="000000"/>
          <w:sz w:val="16"/>
          <w:szCs w:val="16"/>
          <w:lang w:val="en-GB"/>
        </w:rPr>
        <w:tab/>
        <w:t>3 November 2009</w:t>
      </w:r>
    </w:p>
    <w:p w:rsidR="0068424C" w:rsidRPr="00353FCF" w:rsidRDefault="0068424C" w:rsidP="008C342C">
      <w:pPr>
        <w:autoSpaceDE w:val="0"/>
        <w:autoSpaceDN w:val="0"/>
        <w:adjustRightInd w:val="0"/>
        <w:rPr>
          <w:rFonts w:ascii="Verdana" w:hAnsi="Verdana" w:cs="Verdana"/>
          <w:color w:val="000000"/>
          <w:sz w:val="16"/>
          <w:szCs w:val="16"/>
          <w:lang w:val="en-GB"/>
        </w:rPr>
      </w:pPr>
      <w:r w:rsidRPr="00353FCF">
        <w:rPr>
          <w:rFonts w:ascii="Verdana" w:hAnsi="Verdana" w:cs="Verdana"/>
          <w:color w:val="000000"/>
          <w:sz w:val="16"/>
          <w:szCs w:val="16"/>
          <w:lang w:val="en-GB"/>
        </w:rPr>
        <w:t>4</w:t>
      </w:r>
      <w:r w:rsidRPr="00353FCF">
        <w:rPr>
          <w:rFonts w:ascii="Verdana" w:hAnsi="Verdana" w:cs="Verdana"/>
          <w:color w:val="000000"/>
          <w:sz w:val="16"/>
          <w:szCs w:val="16"/>
          <w:vertAlign w:val="superscript"/>
          <w:lang w:val="en-GB"/>
        </w:rPr>
        <w:t>th</w:t>
      </w:r>
      <w:r w:rsidRPr="00353FCF">
        <w:rPr>
          <w:rFonts w:ascii="Verdana" w:hAnsi="Verdana" w:cs="Verdana"/>
          <w:color w:val="000000"/>
          <w:sz w:val="16"/>
          <w:szCs w:val="16"/>
          <w:lang w:val="en-GB"/>
        </w:rPr>
        <w:t xml:space="preserve"> quarter</w:t>
      </w:r>
      <w:r w:rsidRPr="00353FCF">
        <w:rPr>
          <w:rFonts w:ascii="Verdana" w:hAnsi="Verdana" w:cs="Verdana"/>
          <w:color w:val="000000"/>
          <w:sz w:val="16"/>
          <w:szCs w:val="16"/>
          <w:lang w:val="en-GB"/>
        </w:rPr>
        <w:tab/>
      </w:r>
      <w:r w:rsidRPr="00353FCF">
        <w:rPr>
          <w:rFonts w:ascii="Verdana" w:hAnsi="Verdana" w:cs="Verdana"/>
          <w:color w:val="000000"/>
          <w:sz w:val="16"/>
          <w:szCs w:val="16"/>
          <w:lang w:val="en-GB"/>
        </w:rPr>
        <w:tab/>
      </w:r>
      <w:r w:rsidRPr="00353FCF">
        <w:rPr>
          <w:rFonts w:ascii="Verdana" w:hAnsi="Verdana" w:cs="Verdana"/>
          <w:color w:val="000000"/>
          <w:sz w:val="16"/>
          <w:szCs w:val="16"/>
          <w:lang w:val="en-GB"/>
        </w:rPr>
        <w:tab/>
      </w:r>
      <w:r w:rsidRPr="00353FCF">
        <w:rPr>
          <w:rFonts w:ascii="Verdana" w:hAnsi="Verdana" w:cs="Verdana"/>
          <w:color w:val="000000"/>
          <w:sz w:val="16"/>
          <w:szCs w:val="16"/>
          <w:lang w:val="en-GB"/>
        </w:rPr>
        <w:tab/>
      </w:r>
      <w:r w:rsidRPr="00353FCF">
        <w:rPr>
          <w:rFonts w:ascii="Verdana" w:hAnsi="Verdana" w:cs="Verdana"/>
          <w:color w:val="000000"/>
          <w:sz w:val="16"/>
          <w:szCs w:val="16"/>
          <w:lang w:val="en-GB"/>
        </w:rPr>
        <w:tab/>
        <w:t>4 February 2010</w:t>
      </w:r>
    </w:p>
    <w:p w:rsidR="0068424C" w:rsidRPr="00353FCF" w:rsidRDefault="0068424C" w:rsidP="008C342C">
      <w:pPr>
        <w:autoSpaceDE w:val="0"/>
        <w:autoSpaceDN w:val="0"/>
        <w:adjustRightInd w:val="0"/>
        <w:rPr>
          <w:rFonts w:ascii="Verdana" w:hAnsi="Verdana" w:cs="Verdana"/>
          <w:color w:val="000000"/>
          <w:sz w:val="16"/>
          <w:szCs w:val="16"/>
          <w:lang w:val="en-GB"/>
        </w:rPr>
      </w:pPr>
    </w:p>
    <w:p w:rsidR="0068424C" w:rsidRPr="00353FCF" w:rsidRDefault="0068424C" w:rsidP="0068424C">
      <w:pPr>
        <w:autoSpaceDE w:val="0"/>
        <w:autoSpaceDN w:val="0"/>
        <w:adjustRightInd w:val="0"/>
        <w:rPr>
          <w:rFonts w:ascii="Verdana" w:hAnsi="Verdana" w:cs="Verdana"/>
          <w:color w:val="000000"/>
          <w:sz w:val="16"/>
          <w:szCs w:val="16"/>
          <w:lang w:val="en-GB"/>
        </w:rPr>
      </w:pPr>
      <w:r w:rsidRPr="00353FCF">
        <w:rPr>
          <w:rFonts w:ascii="Verdana" w:hAnsi="Verdana" w:cs="Verdana"/>
          <w:color w:val="000000"/>
          <w:sz w:val="16"/>
          <w:szCs w:val="16"/>
          <w:lang w:val="en-GB"/>
        </w:rPr>
        <w:t>Annual General Meeting of Marel Food Systems hf</w:t>
      </w:r>
      <w:r w:rsidRPr="00353FCF">
        <w:rPr>
          <w:rFonts w:ascii="Verdana" w:hAnsi="Verdana" w:cs="Verdana"/>
          <w:color w:val="000000"/>
          <w:sz w:val="16"/>
          <w:szCs w:val="16"/>
          <w:lang w:val="en-GB"/>
        </w:rPr>
        <w:tab/>
        <w:t>3 March 2010</w:t>
      </w:r>
    </w:p>
    <w:p w:rsidR="0068424C" w:rsidRPr="00353FCF" w:rsidRDefault="0068424C" w:rsidP="0068424C">
      <w:pPr>
        <w:autoSpaceDE w:val="0"/>
        <w:autoSpaceDN w:val="0"/>
        <w:adjustRightInd w:val="0"/>
        <w:rPr>
          <w:rFonts w:ascii="Verdana" w:hAnsi="Verdana" w:cs="Verdana"/>
          <w:b/>
          <w:bCs/>
          <w:color w:val="000000"/>
          <w:sz w:val="15"/>
          <w:szCs w:val="15"/>
          <w:lang w:val="en-GB"/>
        </w:rPr>
      </w:pPr>
    </w:p>
    <w:p w:rsidR="0068424C" w:rsidRPr="00353FCF" w:rsidRDefault="0068424C" w:rsidP="0068424C">
      <w:pPr>
        <w:autoSpaceDE w:val="0"/>
        <w:autoSpaceDN w:val="0"/>
        <w:adjustRightInd w:val="0"/>
        <w:rPr>
          <w:rFonts w:ascii="Verdana" w:hAnsi="Verdana" w:cs="Verdana"/>
          <w:b/>
          <w:bCs/>
          <w:color w:val="000000"/>
          <w:sz w:val="16"/>
          <w:szCs w:val="16"/>
          <w:lang w:val="en-GB"/>
        </w:rPr>
      </w:pPr>
    </w:p>
    <w:p w:rsidR="0068424C" w:rsidRPr="00353FCF" w:rsidRDefault="0068424C" w:rsidP="0068424C">
      <w:pPr>
        <w:autoSpaceDE w:val="0"/>
        <w:autoSpaceDN w:val="0"/>
        <w:adjustRightInd w:val="0"/>
        <w:rPr>
          <w:rFonts w:ascii="Verdana" w:hAnsi="Verdana" w:cs="Verdana"/>
          <w:b/>
          <w:bCs/>
          <w:color w:val="000000"/>
          <w:sz w:val="16"/>
          <w:szCs w:val="16"/>
          <w:lang w:val="en-GB"/>
        </w:rPr>
      </w:pPr>
    </w:p>
    <w:p w:rsidR="0068424C" w:rsidRPr="00353FCF" w:rsidRDefault="0068424C" w:rsidP="0068424C">
      <w:pPr>
        <w:autoSpaceDE w:val="0"/>
        <w:autoSpaceDN w:val="0"/>
        <w:adjustRightInd w:val="0"/>
        <w:rPr>
          <w:rFonts w:ascii="Verdana" w:hAnsi="Verdana" w:cs="Verdana"/>
          <w:b/>
          <w:bCs/>
          <w:color w:val="000000"/>
          <w:sz w:val="16"/>
          <w:szCs w:val="16"/>
          <w:lang w:val="en-GB"/>
        </w:rPr>
      </w:pPr>
      <w:r w:rsidRPr="00353FCF">
        <w:rPr>
          <w:rFonts w:ascii="Verdana" w:hAnsi="Verdana" w:cs="Verdana"/>
          <w:b/>
          <w:bCs/>
          <w:color w:val="000000"/>
          <w:sz w:val="16"/>
          <w:szCs w:val="16"/>
          <w:lang w:val="en-GB"/>
        </w:rPr>
        <w:t>For further information, contact:</w:t>
      </w:r>
    </w:p>
    <w:p w:rsidR="0068424C" w:rsidRPr="00353FCF" w:rsidRDefault="0068424C" w:rsidP="0068424C">
      <w:pPr>
        <w:autoSpaceDE w:val="0"/>
        <w:autoSpaceDN w:val="0"/>
        <w:adjustRightInd w:val="0"/>
        <w:rPr>
          <w:rFonts w:ascii="Verdana" w:hAnsi="Verdana" w:cs="Verdana"/>
          <w:color w:val="000000"/>
          <w:sz w:val="16"/>
          <w:szCs w:val="16"/>
          <w:lang w:val="en-GB"/>
        </w:rPr>
      </w:pPr>
    </w:p>
    <w:p w:rsidR="0068424C" w:rsidRPr="00353FCF" w:rsidRDefault="0068424C" w:rsidP="0068424C">
      <w:pPr>
        <w:autoSpaceDE w:val="0"/>
        <w:autoSpaceDN w:val="0"/>
        <w:adjustRightInd w:val="0"/>
        <w:rPr>
          <w:rFonts w:ascii="Verdana" w:hAnsi="Verdana" w:cs="Verdana"/>
          <w:color w:val="000000"/>
          <w:sz w:val="16"/>
          <w:szCs w:val="16"/>
          <w:lang w:val="en-GB"/>
        </w:rPr>
      </w:pPr>
      <w:r w:rsidRPr="00353FCF">
        <w:rPr>
          <w:rFonts w:ascii="Verdana" w:hAnsi="Verdana" w:cs="Verdana"/>
          <w:color w:val="000000"/>
          <w:sz w:val="16"/>
          <w:szCs w:val="16"/>
          <w:lang w:val="en-GB"/>
        </w:rPr>
        <w:t xml:space="preserve">Hörður Arnarson, CEO </w:t>
      </w:r>
      <w:r w:rsidRPr="00353FCF">
        <w:rPr>
          <w:rFonts w:ascii="Verdana" w:hAnsi="Verdana" w:cs="Verdana"/>
          <w:color w:val="000000"/>
          <w:sz w:val="16"/>
          <w:szCs w:val="16"/>
          <w:lang w:val="en-GB"/>
        </w:rPr>
        <w:tab/>
      </w:r>
      <w:r w:rsidRPr="00353FCF">
        <w:rPr>
          <w:rFonts w:ascii="Verdana" w:hAnsi="Verdana" w:cs="Verdana"/>
          <w:color w:val="000000"/>
          <w:sz w:val="16"/>
          <w:szCs w:val="16"/>
          <w:lang w:val="en-GB"/>
        </w:rPr>
        <w:tab/>
      </w:r>
      <w:r w:rsidRPr="00353FCF">
        <w:rPr>
          <w:rFonts w:ascii="Verdana" w:hAnsi="Verdana" w:cs="Verdana"/>
          <w:color w:val="000000"/>
          <w:sz w:val="16"/>
          <w:szCs w:val="16"/>
          <w:lang w:val="en-GB"/>
        </w:rPr>
        <w:tab/>
      </w:r>
      <w:r w:rsidRPr="00353FCF">
        <w:rPr>
          <w:rFonts w:ascii="Verdana" w:hAnsi="Verdana" w:cs="Verdana"/>
          <w:color w:val="000000"/>
          <w:sz w:val="16"/>
          <w:szCs w:val="16"/>
          <w:lang w:val="en-GB"/>
        </w:rPr>
        <w:tab/>
        <w:t>Tel: (+354) 563-8000</w:t>
      </w:r>
    </w:p>
    <w:p w:rsidR="0068424C" w:rsidRPr="00353FCF" w:rsidRDefault="0068424C" w:rsidP="008C342C">
      <w:pPr>
        <w:autoSpaceDE w:val="0"/>
        <w:autoSpaceDN w:val="0"/>
        <w:adjustRightInd w:val="0"/>
        <w:rPr>
          <w:rFonts w:ascii="Verdana" w:hAnsi="Verdana" w:cs="Verdana"/>
          <w:color w:val="000000"/>
          <w:sz w:val="16"/>
          <w:szCs w:val="16"/>
          <w:lang w:val="en-GB"/>
        </w:rPr>
      </w:pPr>
    </w:p>
    <w:sectPr w:rsidR="0068424C" w:rsidRPr="00353FCF" w:rsidSect="008233AF">
      <w:footerReference w:type="default" r:id="rId9"/>
      <w:pgSz w:w="12240" w:h="15840"/>
      <w:pgMar w:top="1440" w:right="1474" w:bottom="1361"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CCE" w:rsidRDefault="00726CCE">
      <w:r>
        <w:separator/>
      </w:r>
    </w:p>
  </w:endnote>
  <w:endnote w:type="continuationSeparator" w:id="1">
    <w:p w:rsidR="00726CCE" w:rsidRDefault="00726CCE">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CCE" w:rsidRPr="0001243A" w:rsidRDefault="00BA7E83" w:rsidP="008233AF">
    <w:pPr>
      <w:pStyle w:val="Footer"/>
      <w:jc w:val="center"/>
      <w:rPr>
        <w:rFonts w:ascii="Verdana" w:hAnsi="Verdana"/>
        <w:sz w:val="20"/>
        <w:szCs w:val="20"/>
      </w:rPr>
    </w:pPr>
    <w:r w:rsidRPr="0001243A">
      <w:rPr>
        <w:rStyle w:val="PageNumber"/>
        <w:rFonts w:ascii="Verdana" w:hAnsi="Verdana"/>
        <w:sz w:val="20"/>
        <w:szCs w:val="20"/>
      </w:rPr>
      <w:fldChar w:fldCharType="begin"/>
    </w:r>
    <w:r w:rsidR="00726CCE" w:rsidRPr="0001243A">
      <w:rPr>
        <w:rStyle w:val="PageNumber"/>
        <w:rFonts w:ascii="Verdana" w:hAnsi="Verdana"/>
        <w:sz w:val="20"/>
        <w:szCs w:val="20"/>
      </w:rPr>
      <w:instrText xml:space="preserve"> PAGE </w:instrText>
    </w:r>
    <w:r w:rsidRPr="0001243A">
      <w:rPr>
        <w:rStyle w:val="PageNumber"/>
        <w:rFonts w:ascii="Verdana" w:hAnsi="Verdana"/>
        <w:sz w:val="20"/>
        <w:szCs w:val="20"/>
      </w:rPr>
      <w:fldChar w:fldCharType="separate"/>
    </w:r>
    <w:r w:rsidR="00612F01">
      <w:rPr>
        <w:rStyle w:val="PageNumber"/>
        <w:rFonts w:ascii="Verdana" w:hAnsi="Verdana"/>
        <w:noProof/>
        <w:sz w:val="20"/>
        <w:szCs w:val="20"/>
      </w:rPr>
      <w:t>1</w:t>
    </w:r>
    <w:r w:rsidRPr="0001243A">
      <w:rPr>
        <w:rStyle w:val="PageNumber"/>
        <w:rFonts w:ascii="Verdana" w:hAnsi="Verdana"/>
        <w:sz w:val="20"/>
        <w:szCs w:val="20"/>
      </w:rPr>
      <w:fldChar w:fldCharType="end"/>
    </w:r>
    <w:r w:rsidR="00726CCE" w:rsidRPr="0001243A">
      <w:rPr>
        <w:rStyle w:val="PageNumber"/>
        <w:rFonts w:ascii="Verdana" w:hAnsi="Verdana"/>
        <w:sz w:val="20"/>
        <w:szCs w:val="20"/>
      </w:rPr>
      <w:t xml:space="preserve"> / </w:t>
    </w:r>
    <w:r w:rsidRPr="0001243A">
      <w:rPr>
        <w:rStyle w:val="PageNumber"/>
        <w:rFonts w:ascii="Verdana" w:hAnsi="Verdana"/>
        <w:sz w:val="20"/>
        <w:szCs w:val="20"/>
      </w:rPr>
      <w:fldChar w:fldCharType="begin"/>
    </w:r>
    <w:r w:rsidR="00726CCE" w:rsidRPr="0001243A">
      <w:rPr>
        <w:rStyle w:val="PageNumber"/>
        <w:rFonts w:ascii="Verdana" w:hAnsi="Verdana"/>
        <w:sz w:val="20"/>
        <w:szCs w:val="20"/>
      </w:rPr>
      <w:instrText xml:space="preserve"> NUMPAGES </w:instrText>
    </w:r>
    <w:r w:rsidRPr="0001243A">
      <w:rPr>
        <w:rStyle w:val="PageNumber"/>
        <w:rFonts w:ascii="Verdana" w:hAnsi="Verdana"/>
        <w:sz w:val="20"/>
        <w:szCs w:val="20"/>
      </w:rPr>
      <w:fldChar w:fldCharType="separate"/>
    </w:r>
    <w:r w:rsidR="00612F01">
      <w:rPr>
        <w:rStyle w:val="PageNumber"/>
        <w:rFonts w:ascii="Verdana" w:hAnsi="Verdana"/>
        <w:noProof/>
        <w:sz w:val="20"/>
        <w:szCs w:val="20"/>
      </w:rPr>
      <w:t>6</w:t>
    </w:r>
    <w:r w:rsidRPr="0001243A">
      <w:rPr>
        <w:rStyle w:val="PageNumber"/>
        <w:rFonts w:ascii="Verdana" w:hAnsi="Verdana"/>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CCE" w:rsidRDefault="00726CCE">
      <w:r>
        <w:separator/>
      </w:r>
    </w:p>
  </w:footnote>
  <w:footnote w:type="continuationSeparator" w:id="1">
    <w:p w:rsidR="00726CCE" w:rsidRDefault="00726C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610C1"/>
    <w:multiLevelType w:val="hybridMultilevel"/>
    <w:tmpl w:val="C7DE3568"/>
    <w:lvl w:ilvl="0" w:tplc="356CBBB6">
      <w:start w:val="4"/>
      <w:numFmt w:val="bullet"/>
      <w:lvlText w:val="-"/>
      <w:lvlJc w:val="left"/>
      <w:pPr>
        <w:ind w:left="717" w:hanging="360"/>
      </w:pPr>
      <w:rPr>
        <w:rFonts w:ascii="Verdana" w:eastAsia="Times New Roman" w:hAnsi="Verdana"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
    <w:nsid w:val="0DDB3C8A"/>
    <w:multiLevelType w:val="hybridMultilevel"/>
    <w:tmpl w:val="73B2F626"/>
    <w:lvl w:ilvl="0" w:tplc="6F3A77DE">
      <w:start w:val="24"/>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0709C"/>
    <w:multiLevelType w:val="hybridMultilevel"/>
    <w:tmpl w:val="E292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67CBD"/>
    <w:multiLevelType w:val="multilevel"/>
    <w:tmpl w:val="6D4ED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D747740"/>
    <w:multiLevelType w:val="hybridMultilevel"/>
    <w:tmpl w:val="0F72E4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3CE1E9A"/>
    <w:multiLevelType w:val="multilevel"/>
    <w:tmpl w:val="567E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E1C6D3F"/>
    <w:multiLevelType w:val="hybridMultilevel"/>
    <w:tmpl w:val="9BFE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AB3C59"/>
    <w:multiLevelType w:val="multilevel"/>
    <w:tmpl w:val="D2F0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48A1CC1"/>
    <w:multiLevelType w:val="hybridMultilevel"/>
    <w:tmpl w:val="8FF2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A348C3"/>
    <w:multiLevelType w:val="hybridMultilevel"/>
    <w:tmpl w:val="00EA603A"/>
    <w:lvl w:ilvl="0" w:tplc="84E26480">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B674FD"/>
    <w:multiLevelType w:val="multilevel"/>
    <w:tmpl w:val="B50C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4F87744"/>
    <w:multiLevelType w:val="multilevel"/>
    <w:tmpl w:val="9634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9B0CE3"/>
    <w:multiLevelType w:val="hybridMultilevel"/>
    <w:tmpl w:val="02CE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A63BE7"/>
    <w:multiLevelType w:val="hybridMultilevel"/>
    <w:tmpl w:val="DF148E86"/>
    <w:lvl w:ilvl="0" w:tplc="6F3A77DE">
      <w:start w:val="24"/>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136C67"/>
    <w:multiLevelType w:val="multilevel"/>
    <w:tmpl w:val="F7EC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87329CE"/>
    <w:multiLevelType w:val="multilevel"/>
    <w:tmpl w:val="F3FC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E33423"/>
    <w:multiLevelType w:val="multilevel"/>
    <w:tmpl w:val="C2BA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B0B1D78"/>
    <w:multiLevelType w:val="hybridMultilevel"/>
    <w:tmpl w:val="AD147DB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4"/>
  </w:num>
  <w:num w:numId="2">
    <w:abstractNumId w:val="9"/>
  </w:num>
  <w:num w:numId="3">
    <w:abstractNumId w:val="13"/>
  </w:num>
  <w:num w:numId="4">
    <w:abstractNumId w:val="1"/>
  </w:num>
  <w:num w:numId="5">
    <w:abstractNumId w:val="11"/>
  </w:num>
  <w:num w:numId="6">
    <w:abstractNumId w:val="10"/>
  </w:num>
  <w:num w:numId="7">
    <w:abstractNumId w:val="7"/>
  </w:num>
  <w:num w:numId="8">
    <w:abstractNumId w:val="15"/>
  </w:num>
  <w:num w:numId="9">
    <w:abstractNumId w:val="16"/>
  </w:num>
  <w:num w:numId="10">
    <w:abstractNumId w:val="14"/>
  </w:num>
  <w:num w:numId="11">
    <w:abstractNumId w:val="3"/>
  </w:num>
  <w:num w:numId="12">
    <w:abstractNumId w:val="5"/>
  </w:num>
  <w:num w:numId="13">
    <w:abstractNumId w:val="8"/>
  </w:num>
  <w:num w:numId="14">
    <w:abstractNumId w:val="12"/>
  </w:num>
  <w:num w:numId="15">
    <w:abstractNumId w:val="6"/>
  </w:num>
  <w:num w:numId="16">
    <w:abstractNumId w:val="17"/>
  </w:num>
  <w:num w:numId="17">
    <w:abstractNumId w:val="2"/>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hyphenationZone w:val="425"/>
  <w:characterSpacingControl w:val="doNotCompress"/>
  <w:footnotePr>
    <w:footnote w:id="0"/>
    <w:footnote w:id="1"/>
  </w:footnotePr>
  <w:endnotePr>
    <w:endnote w:id="0"/>
    <w:endnote w:id="1"/>
  </w:endnotePr>
  <w:compat/>
  <w:rsids>
    <w:rsidRoot w:val="008233AF"/>
    <w:rsid w:val="00002804"/>
    <w:rsid w:val="00005FF2"/>
    <w:rsid w:val="00007FCE"/>
    <w:rsid w:val="00011A36"/>
    <w:rsid w:val="0001243A"/>
    <w:rsid w:val="00012543"/>
    <w:rsid w:val="000156F2"/>
    <w:rsid w:val="0002042D"/>
    <w:rsid w:val="00020477"/>
    <w:rsid w:val="00021474"/>
    <w:rsid w:val="00024880"/>
    <w:rsid w:val="00025564"/>
    <w:rsid w:val="000257E1"/>
    <w:rsid w:val="00025FAE"/>
    <w:rsid w:val="000303A3"/>
    <w:rsid w:val="00042C32"/>
    <w:rsid w:val="00047021"/>
    <w:rsid w:val="00055D40"/>
    <w:rsid w:val="00061A10"/>
    <w:rsid w:val="000621A4"/>
    <w:rsid w:val="000939B8"/>
    <w:rsid w:val="00095320"/>
    <w:rsid w:val="00095A70"/>
    <w:rsid w:val="000A056B"/>
    <w:rsid w:val="000A561A"/>
    <w:rsid w:val="000A7D37"/>
    <w:rsid w:val="000B0B87"/>
    <w:rsid w:val="000B1C79"/>
    <w:rsid w:val="000C273F"/>
    <w:rsid w:val="000C4CAC"/>
    <w:rsid w:val="000C6D1E"/>
    <w:rsid w:val="000C7B47"/>
    <w:rsid w:val="000D4115"/>
    <w:rsid w:val="000D5E14"/>
    <w:rsid w:val="000E08FB"/>
    <w:rsid w:val="000E44F7"/>
    <w:rsid w:val="000E4A1E"/>
    <w:rsid w:val="000E69F5"/>
    <w:rsid w:val="000E7B69"/>
    <w:rsid w:val="00115032"/>
    <w:rsid w:val="0012073F"/>
    <w:rsid w:val="0012382C"/>
    <w:rsid w:val="00123D3A"/>
    <w:rsid w:val="00127EBD"/>
    <w:rsid w:val="00130823"/>
    <w:rsid w:val="00132064"/>
    <w:rsid w:val="001327E8"/>
    <w:rsid w:val="00132E9C"/>
    <w:rsid w:val="001426F9"/>
    <w:rsid w:val="00144A97"/>
    <w:rsid w:val="00145E21"/>
    <w:rsid w:val="00147398"/>
    <w:rsid w:val="00147D83"/>
    <w:rsid w:val="00160049"/>
    <w:rsid w:val="001618E5"/>
    <w:rsid w:val="0016641C"/>
    <w:rsid w:val="00170AC8"/>
    <w:rsid w:val="00176121"/>
    <w:rsid w:val="00177A1E"/>
    <w:rsid w:val="001840FB"/>
    <w:rsid w:val="00187774"/>
    <w:rsid w:val="0019662E"/>
    <w:rsid w:val="00196E00"/>
    <w:rsid w:val="001A012E"/>
    <w:rsid w:val="001A0AD0"/>
    <w:rsid w:val="001A5AF9"/>
    <w:rsid w:val="001B0388"/>
    <w:rsid w:val="001B3B83"/>
    <w:rsid w:val="001C3F08"/>
    <w:rsid w:val="001D0DF2"/>
    <w:rsid w:val="001D3E44"/>
    <w:rsid w:val="001E100F"/>
    <w:rsid w:val="001E2C03"/>
    <w:rsid w:val="001E3264"/>
    <w:rsid w:val="001E4294"/>
    <w:rsid w:val="001E4959"/>
    <w:rsid w:val="001E4EDF"/>
    <w:rsid w:val="001F60ED"/>
    <w:rsid w:val="001F77C3"/>
    <w:rsid w:val="002017FD"/>
    <w:rsid w:val="00202D51"/>
    <w:rsid w:val="00204F3F"/>
    <w:rsid w:val="0021101F"/>
    <w:rsid w:val="00213255"/>
    <w:rsid w:val="00217050"/>
    <w:rsid w:val="00221C14"/>
    <w:rsid w:val="00222A9A"/>
    <w:rsid w:val="00224C21"/>
    <w:rsid w:val="00236160"/>
    <w:rsid w:val="00237A2B"/>
    <w:rsid w:val="00237D17"/>
    <w:rsid w:val="00240A4D"/>
    <w:rsid w:val="00240DF2"/>
    <w:rsid w:val="00244735"/>
    <w:rsid w:val="00244F58"/>
    <w:rsid w:val="00247B98"/>
    <w:rsid w:val="0025187A"/>
    <w:rsid w:val="00256218"/>
    <w:rsid w:val="00257113"/>
    <w:rsid w:val="00257650"/>
    <w:rsid w:val="0026138D"/>
    <w:rsid w:val="00263FFA"/>
    <w:rsid w:val="00266A31"/>
    <w:rsid w:val="0027476F"/>
    <w:rsid w:val="00281D12"/>
    <w:rsid w:val="002847D2"/>
    <w:rsid w:val="00284D08"/>
    <w:rsid w:val="00291317"/>
    <w:rsid w:val="002928A2"/>
    <w:rsid w:val="002966F1"/>
    <w:rsid w:val="00297E53"/>
    <w:rsid w:val="002A77D1"/>
    <w:rsid w:val="002B0B04"/>
    <w:rsid w:val="002B2100"/>
    <w:rsid w:val="002B2544"/>
    <w:rsid w:val="002B7DF1"/>
    <w:rsid w:val="002C7FB3"/>
    <w:rsid w:val="002E31AA"/>
    <w:rsid w:val="002E3FB4"/>
    <w:rsid w:val="002E4D01"/>
    <w:rsid w:val="002F6CAB"/>
    <w:rsid w:val="0030197C"/>
    <w:rsid w:val="00313227"/>
    <w:rsid w:val="00324C97"/>
    <w:rsid w:val="003252A8"/>
    <w:rsid w:val="0032723B"/>
    <w:rsid w:val="003272AB"/>
    <w:rsid w:val="00343072"/>
    <w:rsid w:val="003431ED"/>
    <w:rsid w:val="0035290C"/>
    <w:rsid w:val="00353FCF"/>
    <w:rsid w:val="00361A26"/>
    <w:rsid w:val="00380B33"/>
    <w:rsid w:val="0038169C"/>
    <w:rsid w:val="003913D2"/>
    <w:rsid w:val="00394637"/>
    <w:rsid w:val="00396590"/>
    <w:rsid w:val="003A44F2"/>
    <w:rsid w:val="003A4DBC"/>
    <w:rsid w:val="003B05E1"/>
    <w:rsid w:val="003B0C4A"/>
    <w:rsid w:val="003B43E2"/>
    <w:rsid w:val="003C0DB2"/>
    <w:rsid w:val="003C3026"/>
    <w:rsid w:val="003C3C16"/>
    <w:rsid w:val="003C718F"/>
    <w:rsid w:val="003C7C07"/>
    <w:rsid w:val="003D5946"/>
    <w:rsid w:val="003D7C4A"/>
    <w:rsid w:val="003E701B"/>
    <w:rsid w:val="003F451D"/>
    <w:rsid w:val="003F678A"/>
    <w:rsid w:val="003F77DF"/>
    <w:rsid w:val="0040025C"/>
    <w:rsid w:val="004035FC"/>
    <w:rsid w:val="00410DAA"/>
    <w:rsid w:val="00412192"/>
    <w:rsid w:val="004207B0"/>
    <w:rsid w:val="00421E1F"/>
    <w:rsid w:val="00422D6E"/>
    <w:rsid w:val="00434252"/>
    <w:rsid w:val="00435696"/>
    <w:rsid w:val="0043660E"/>
    <w:rsid w:val="00440D8E"/>
    <w:rsid w:val="00440ECF"/>
    <w:rsid w:val="00446729"/>
    <w:rsid w:val="00447570"/>
    <w:rsid w:val="00452E15"/>
    <w:rsid w:val="0046489B"/>
    <w:rsid w:val="00465A70"/>
    <w:rsid w:val="00470FB2"/>
    <w:rsid w:val="00472CED"/>
    <w:rsid w:val="00473142"/>
    <w:rsid w:val="00493E67"/>
    <w:rsid w:val="004A694C"/>
    <w:rsid w:val="004B2130"/>
    <w:rsid w:val="004B4D0B"/>
    <w:rsid w:val="004C4C31"/>
    <w:rsid w:val="004D332A"/>
    <w:rsid w:val="004E0972"/>
    <w:rsid w:val="004E161C"/>
    <w:rsid w:val="004E18F1"/>
    <w:rsid w:val="004E6D91"/>
    <w:rsid w:val="004E6E59"/>
    <w:rsid w:val="00506064"/>
    <w:rsid w:val="0050677D"/>
    <w:rsid w:val="00513D2D"/>
    <w:rsid w:val="00514CD0"/>
    <w:rsid w:val="00517B30"/>
    <w:rsid w:val="00521EC4"/>
    <w:rsid w:val="00524F0B"/>
    <w:rsid w:val="00525A32"/>
    <w:rsid w:val="00536A33"/>
    <w:rsid w:val="00540B7F"/>
    <w:rsid w:val="00544859"/>
    <w:rsid w:val="00545492"/>
    <w:rsid w:val="00545CF1"/>
    <w:rsid w:val="005534EF"/>
    <w:rsid w:val="00553890"/>
    <w:rsid w:val="00555450"/>
    <w:rsid w:val="0055629C"/>
    <w:rsid w:val="005567FA"/>
    <w:rsid w:val="005577B7"/>
    <w:rsid w:val="0056178C"/>
    <w:rsid w:val="00563666"/>
    <w:rsid w:val="00565435"/>
    <w:rsid w:val="00565E56"/>
    <w:rsid w:val="005879D5"/>
    <w:rsid w:val="0059590E"/>
    <w:rsid w:val="005A1EA9"/>
    <w:rsid w:val="005A470C"/>
    <w:rsid w:val="005A4C39"/>
    <w:rsid w:val="005A6D4E"/>
    <w:rsid w:val="005B7B31"/>
    <w:rsid w:val="005C4F33"/>
    <w:rsid w:val="005D1B6B"/>
    <w:rsid w:val="005D1DFB"/>
    <w:rsid w:val="005E6CF8"/>
    <w:rsid w:val="005F3F3A"/>
    <w:rsid w:val="005F4BA0"/>
    <w:rsid w:val="00603285"/>
    <w:rsid w:val="00603362"/>
    <w:rsid w:val="00604201"/>
    <w:rsid w:val="00604C1A"/>
    <w:rsid w:val="00604F23"/>
    <w:rsid w:val="00612F01"/>
    <w:rsid w:val="00613DB6"/>
    <w:rsid w:val="00623788"/>
    <w:rsid w:val="0063569B"/>
    <w:rsid w:val="00640B39"/>
    <w:rsid w:val="006418A3"/>
    <w:rsid w:val="006452AA"/>
    <w:rsid w:val="00650133"/>
    <w:rsid w:val="006509DD"/>
    <w:rsid w:val="00657CF8"/>
    <w:rsid w:val="00661A1A"/>
    <w:rsid w:val="00665A47"/>
    <w:rsid w:val="00672905"/>
    <w:rsid w:val="00676427"/>
    <w:rsid w:val="00676CB4"/>
    <w:rsid w:val="0068416F"/>
    <w:rsid w:val="0068424C"/>
    <w:rsid w:val="006857A7"/>
    <w:rsid w:val="00685CFB"/>
    <w:rsid w:val="00687A19"/>
    <w:rsid w:val="006944C5"/>
    <w:rsid w:val="00697178"/>
    <w:rsid w:val="00697B1C"/>
    <w:rsid w:val="006A3052"/>
    <w:rsid w:val="006B08AA"/>
    <w:rsid w:val="006B537B"/>
    <w:rsid w:val="006C082E"/>
    <w:rsid w:val="006C3552"/>
    <w:rsid w:val="006C4B34"/>
    <w:rsid w:val="006C6DA2"/>
    <w:rsid w:val="006D189B"/>
    <w:rsid w:val="006D1C09"/>
    <w:rsid w:val="006E59A3"/>
    <w:rsid w:val="006E7A18"/>
    <w:rsid w:val="006F174A"/>
    <w:rsid w:val="006F4107"/>
    <w:rsid w:val="00704464"/>
    <w:rsid w:val="00710744"/>
    <w:rsid w:val="00711AB9"/>
    <w:rsid w:val="007145B7"/>
    <w:rsid w:val="00715700"/>
    <w:rsid w:val="007214C1"/>
    <w:rsid w:val="00723276"/>
    <w:rsid w:val="00723D90"/>
    <w:rsid w:val="00726CCE"/>
    <w:rsid w:val="007336AF"/>
    <w:rsid w:val="00736C56"/>
    <w:rsid w:val="0074441C"/>
    <w:rsid w:val="00745214"/>
    <w:rsid w:val="00752FCF"/>
    <w:rsid w:val="007544E7"/>
    <w:rsid w:val="007558E8"/>
    <w:rsid w:val="0075608C"/>
    <w:rsid w:val="00771116"/>
    <w:rsid w:val="00785026"/>
    <w:rsid w:val="00793B2D"/>
    <w:rsid w:val="00795105"/>
    <w:rsid w:val="007A2B64"/>
    <w:rsid w:val="007A3EA6"/>
    <w:rsid w:val="007B0010"/>
    <w:rsid w:val="007B1C48"/>
    <w:rsid w:val="007B42A9"/>
    <w:rsid w:val="007C072A"/>
    <w:rsid w:val="007C079A"/>
    <w:rsid w:val="007C3BA4"/>
    <w:rsid w:val="007C4292"/>
    <w:rsid w:val="007D77C0"/>
    <w:rsid w:val="007E45CE"/>
    <w:rsid w:val="007E5EF7"/>
    <w:rsid w:val="007F0382"/>
    <w:rsid w:val="007F4C0C"/>
    <w:rsid w:val="007F5D54"/>
    <w:rsid w:val="007F6546"/>
    <w:rsid w:val="00807872"/>
    <w:rsid w:val="008079E2"/>
    <w:rsid w:val="008107C0"/>
    <w:rsid w:val="008113DA"/>
    <w:rsid w:val="008116FF"/>
    <w:rsid w:val="008233AF"/>
    <w:rsid w:val="00830815"/>
    <w:rsid w:val="00831407"/>
    <w:rsid w:val="008316FD"/>
    <w:rsid w:val="00831A2B"/>
    <w:rsid w:val="00832FB5"/>
    <w:rsid w:val="00832FD7"/>
    <w:rsid w:val="00833600"/>
    <w:rsid w:val="008353A3"/>
    <w:rsid w:val="008369EE"/>
    <w:rsid w:val="008444AD"/>
    <w:rsid w:val="00850C2B"/>
    <w:rsid w:val="008510A4"/>
    <w:rsid w:val="008515B2"/>
    <w:rsid w:val="00857486"/>
    <w:rsid w:val="00873599"/>
    <w:rsid w:val="00876F78"/>
    <w:rsid w:val="0088024F"/>
    <w:rsid w:val="00893BF0"/>
    <w:rsid w:val="008A0951"/>
    <w:rsid w:val="008A1A96"/>
    <w:rsid w:val="008A252F"/>
    <w:rsid w:val="008B19F1"/>
    <w:rsid w:val="008B25CB"/>
    <w:rsid w:val="008B3985"/>
    <w:rsid w:val="008C1286"/>
    <w:rsid w:val="008C2F72"/>
    <w:rsid w:val="008C342C"/>
    <w:rsid w:val="008D35FC"/>
    <w:rsid w:val="008D3B82"/>
    <w:rsid w:val="008D3C39"/>
    <w:rsid w:val="008D40FA"/>
    <w:rsid w:val="008D5595"/>
    <w:rsid w:val="008D7363"/>
    <w:rsid w:val="008E41CD"/>
    <w:rsid w:val="008E5EB1"/>
    <w:rsid w:val="008F3279"/>
    <w:rsid w:val="008F516F"/>
    <w:rsid w:val="008F6EEC"/>
    <w:rsid w:val="00906CDD"/>
    <w:rsid w:val="00910061"/>
    <w:rsid w:val="00911780"/>
    <w:rsid w:val="00914DAD"/>
    <w:rsid w:val="00916F86"/>
    <w:rsid w:val="00917E9A"/>
    <w:rsid w:val="0092007E"/>
    <w:rsid w:val="009207C9"/>
    <w:rsid w:val="0092611C"/>
    <w:rsid w:val="009329DB"/>
    <w:rsid w:val="00934F95"/>
    <w:rsid w:val="00937EC4"/>
    <w:rsid w:val="009455E1"/>
    <w:rsid w:val="00946F3E"/>
    <w:rsid w:val="00950B4E"/>
    <w:rsid w:val="0095340D"/>
    <w:rsid w:val="009569C5"/>
    <w:rsid w:val="009626BB"/>
    <w:rsid w:val="00962C7C"/>
    <w:rsid w:val="00964F76"/>
    <w:rsid w:val="00967954"/>
    <w:rsid w:val="00970F85"/>
    <w:rsid w:val="0097157B"/>
    <w:rsid w:val="00971F32"/>
    <w:rsid w:val="00976F6C"/>
    <w:rsid w:val="0098051B"/>
    <w:rsid w:val="009868B6"/>
    <w:rsid w:val="009959FB"/>
    <w:rsid w:val="009A078C"/>
    <w:rsid w:val="009A1A68"/>
    <w:rsid w:val="009A23CE"/>
    <w:rsid w:val="009A37C7"/>
    <w:rsid w:val="009A3EF3"/>
    <w:rsid w:val="009A46FF"/>
    <w:rsid w:val="009A5F49"/>
    <w:rsid w:val="009A73F9"/>
    <w:rsid w:val="009B07F4"/>
    <w:rsid w:val="009B137E"/>
    <w:rsid w:val="009B2035"/>
    <w:rsid w:val="009B2931"/>
    <w:rsid w:val="009C3A8E"/>
    <w:rsid w:val="009D7740"/>
    <w:rsid w:val="009E28A9"/>
    <w:rsid w:val="009E4DD9"/>
    <w:rsid w:val="009F0629"/>
    <w:rsid w:val="009F2A98"/>
    <w:rsid w:val="009F55BF"/>
    <w:rsid w:val="00A000BF"/>
    <w:rsid w:val="00A03019"/>
    <w:rsid w:val="00A05310"/>
    <w:rsid w:val="00A07686"/>
    <w:rsid w:val="00A12C87"/>
    <w:rsid w:val="00A244FE"/>
    <w:rsid w:val="00A25A4F"/>
    <w:rsid w:val="00A27F16"/>
    <w:rsid w:val="00A3350E"/>
    <w:rsid w:val="00A33D0A"/>
    <w:rsid w:val="00A37B0A"/>
    <w:rsid w:val="00A405D0"/>
    <w:rsid w:val="00A41103"/>
    <w:rsid w:val="00A41150"/>
    <w:rsid w:val="00A4223B"/>
    <w:rsid w:val="00A44B73"/>
    <w:rsid w:val="00A46727"/>
    <w:rsid w:val="00A46779"/>
    <w:rsid w:val="00A52471"/>
    <w:rsid w:val="00A669B6"/>
    <w:rsid w:val="00A814A6"/>
    <w:rsid w:val="00A96A04"/>
    <w:rsid w:val="00AA3051"/>
    <w:rsid w:val="00AA3C24"/>
    <w:rsid w:val="00AB02E6"/>
    <w:rsid w:val="00AB42BD"/>
    <w:rsid w:val="00AB6D16"/>
    <w:rsid w:val="00AB70AF"/>
    <w:rsid w:val="00AC4BCE"/>
    <w:rsid w:val="00AD071A"/>
    <w:rsid w:val="00AD5957"/>
    <w:rsid w:val="00AD72E8"/>
    <w:rsid w:val="00AE129D"/>
    <w:rsid w:val="00AE5FB0"/>
    <w:rsid w:val="00AE74DA"/>
    <w:rsid w:val="00AF06B4"/>
    <w:rsid w:val="00AF0F8A"/>
    <w:rsid w:val="00AF21D4"/>
    <w:rsid w:val="00B16B3A"/>
    <w:rsid w:val="00B17B5F"/>
    <w:rsid w:val="00B209E9"/>
    <w:rsid w:val="00B26B9B"/>
    <w:rsid w:val="00B30B79"/>
    <w:rsid w:val="00B3662C"/>
    <w:rsid w:val="00B51993"/>
    <w:rsid w:val="00B56173"/>
    <w:rsid w:val="00B57B7B"/>
    <w:rsid w:val="00B62995"/>
    <w:rsid w:val="00B63CB0"/>
    <w:rsid w:val="00B65FED"/>
    <w:rsid w:val="00B6708E"/>
    <w:rsid w:val="00B72D30"/>
    <w:rsid w:val="00B81E0F"/>
    <w:rsid w:val="00B82A74"/>
    <w:rsid w:val="00B8748E"/>
    <w:rsid w:val="00B90ED0"/>
    <w:rsid w:val="00B916EA"/>
    <w:rsid w:val="00B96C47"/>
    <w:rsid w:val="00BA4A58"/>
    <w:rsid w:val="00BA6B70"/>
    <w:rsid w:val="00BA7E83"/>
    <w:rsid w:val="00BB0D78"/>
    <w:rsid w:val="00BB2294"/>
    <w:rsid w:val="00BB30E8"/>
    <w:rsid w:val="00BB79C8"/>
    <w:rsid w:val="00BC20AE"/>
    <w:rsid w:val="00BC606E"/>
    <w:rsid w:val="00BD59C0"/>
    <w:rsid w:val="00BE34A8"/>
    <w:rsid w:val="00BE39E3"/>
    <w:rsid w:val="00BE4D69"/>
    <w:rsid w:val="00BF10DE"/>
    <w:rsid w:val="00BF3369"/>
    <w:rsid w:val="00BF70BF"/>
    <w:rsid w:val="00C04AD3"/>
    <w:rsid w:val="00C066D3"/>
    <w:rsid w:val="00C0737F"/>
    <w:rsid w:val="00C10D67"/>
    <w:rsid w:val="00C11D5D"/>
    <w:rsid w:val="00C20D4C"/>
    <w:rsid w:val="00C25F9D"/>
    <w:rsid w:val="00C313D1"/>
    <w:rsid w:val="00C31D19"/>
    <w:rsid w:val="00C31ECB"/>
    <w:rsid w:val="00C3378C"/>
    <w:rsid w:val="00C42109"/>
    <w:rsid w:val="00C55E4E"/>
    <w:rsid w:val="00C60D10"/>
    <w:rsid w:val="00C62F0B"/>
    <w:rsid w:val="00C64706"/>
    <w:rsid w:val="00C649B1"/>
    <w:rsid w:val="00C657B5"/>
    <w:rsid w:val="00C743C5"/>
    <w:rsid w:val="00C8268C"/>
    <w:rsid w:val="00C91A07"/>
    <w:rsid w:val="00CA2C95"/>
    <w:rsid w:val="00CA653C"/>
    <w:rsid w:val="00CA7A26"/>
    <w:rsid w:val="00CA7CBA"/>
    <w:rsid w:val="00CB1BF9"/>
    <w:rsid w:val="00CB5A29"/>
    <w:rsid w:val="00CC17B9"/>
    <w:rsid w:val="00CC1D51"/>
    <w:rsid w:val="00CC5116"/>
    <w:rsid w:val="00CC6073"/>
    <w:rsid w:val="00CC6252"/>
    <w:rsid w:val="00CD0EE4"/>
    <w:rsid w:val="00CD7CB9"/>
    <w:rsid w:val="00CE276C"/>
    <w:rsid w:val="00CE544E"/>
    <w:rsid w:val="00CF0170"/>
    <w:rsid w:val="00CF0EC6"/>
    <w:rsid w:val="00CF1A69"/>
    <w:rsid w:val="00CF1C4B"/>
    <w:rsid w:val="00CF73CA"/>
    <w:rsid w:val="00D00373"/>
    <w:rsid w:val="00D03368"/>
    <w:rsid w:val="00D10A28"/>
    <w:rsid w:val="00D1388A"/>
    <w:rsid w:val="00D22C79"/>
    <w:rsid w:val="00D25B6A"/>
    <w:rsid w:val="00D31792"/>
    <w:rsid w:val="00D34662"/>
    <w:rsid w:val="00D3516B"/>
    <w:rsid w:val="00D5043F"/>
    <w:rsid w:val="00D51E69"/>
    <w:rsid w:val="00D53BCF"/>
    <w:rsid w:val="00D55DB6"/>
    <w:rsid w:val="00D60B9A"/>
    <w:rsid w:val="00D63A31"/>
    <w:rsid w:val="00D715D2"/>
    <w:rsid w:val="00D771E6"/>
    <w:rsid w:val="00D81D8E"/>
    <w:rsid w:val="00D856F2"/>
    <w:rsid w:val="00D87282"/>
    <w:rsid w:val="00D90C87"/>
    <w:rsid w:val="00D92452"/>
    <w:rsid w:val="00D92D6A"/>
    <w:rsid w:val="00D96C33"/>
    <w:rsid w:val="00DA2398"/>
    <w:rsid w:val="00DA4CB2"/>
    <w:rsid w:val="00DB04EA"/>
    <w:rsid w:val="00DB3D4B"/>
    <w:rsid w:val="00DB4F8B"/>
    <w:rsid w:val="00DC4DDF"/>
    <w:rsid w:val="00DD0118"/>
    <w:rsid w:val="00DD53AC"/>
    <w:rsid w:val="00DD6804"/>
    <w:rsid w:val="00DD69C4"/>
    <w:rsid w:val="00DE488B"/>
    <w:rsid w:val="00DE7755"/>
    <w:rsid w:val="00DF0826"/>
    <w:rsid w:val="00DF12A9"/>
    <w:rsid w:val="00DF48A6"/>
    <w:rsid w:val="00DF5C14"/>
    <w:rsid w:val="00E00A85"/>
    <w:rsid w:val="00E02968"/>
    <w:rsid w:val="00E14C50"/>
    <w:rsid w:val="00E200F7"/>
    <w:rsid w:val="00E37EFD"/>
    <w:rsid w:val="00E404E1"/>
    <w:rsid w:val="00E40DBA"/>
    <w:rsid w:val="00E419AB"/>
    <w:rsid w:val="00E437FD"/>
    <w:rsid w:val="00E43EAE"/>
    <w:rsid w:val="00E45226"/>
    <w:rsid w:val="00E55E8E"/>
    <w:rsid w:val="00E57B4F"/>
    <w:rsid w:val="00E60D34"/>
    <w:rsid w:val="00E62EB8"/>
    <w:rsid w:val="00E675F5"/>
    <w:rsid w:val="00E85B05"/>
    <w:rsid w:val="00E9283C"/>
    <w:rsid w:val="00EA08EC"/>
    <w:rsid w:val="00EA1280"/>
    <w:rsid w:val="00EA3607"/>
    <w:rsid w:val="00EA3CC5"/>
    <w:rsid w:val="00EB407A"/>
    <w:rsid w:val="00ED0B39"/>
    <w:rsid w:val="00ED299F"/>
    <w:rsid w:val="00ED6B86"/>
    <w:rsid w:val="00ED6BB3"/>
    <w:rsid w:val="00ED76EE"/>
    <w:rsid w:val="00EE2F90"/>
    <w:rsid w:val="00EE3CF8"/>
    <w:rsid w:val="00EE461E"/>
    <w:rsid w:val="00EE4F9C"/>
    <w:rsid w:val="00EF0F3F"/>
    <w:rsid w:val="00EF159A"/>
    <w:rsid w:val="00EF19B2"/>
    <w:rsid w:val="00EF54F9"/>
    <w:rsid w:val="00F0201A"/>
    <w:rsid w:val="00F029A5"/>
    <w:rsid w:val="00F0365A"/>
    <w:rsid w:val="00F04A89"/>
    <w:rsid w:val="00F11748"/>
    <w:rsid w:val="00F14315"/>
    <w:rsid w:val="00F167BA"/>
    <w:rsid w:val="00F27F36"/>
    <w:rsid w:val="00F3282C"/>
    <w:rsid w:val="00F44412"/>
    <w:rsid w:val="00F4623F"/>
    <w:rsid w:val="00F47034"/>
    <w:rsid w:val="00F50A76"/>
    <w:rsid w:val="00F50AAC"/>
    <w:rsid w:val="00F60E78"/>
    <w:rsid w:val="00F62CBD"/>
    <w:rsid w:val="00F63997"/>
    <w:rsid w:val="00F66B10"/>
    <w:rsid w:val="00F719D1"/>
    <w:rsid w:val="00F831BA"/>
    <w:rsid w:val="00F92C4C"/>
    <w:rsid w:val="00F93A28"/>
    <w:rsid w:val="00F965E9"/>
    <w:rsid w:val="00FA6496"/>
    <w:rsid w:val="00FB1466"/>
    <w:rsid w:val="00FB707D"/>
    <w:rsid w:val="00FC0340"/>
    <w:rsid w:val="00FC427C"/>
    <w:rsid w:val="00FC7808"/>
    <w:rsid w:val="00FD088F"/>
    <w:rsid w:val="00FE426E"/>
    <w:rsid w:val="00FF57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3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233AF"/>
    <w:rPr>
      <w:rFonts w:cs="Times New Roman"/>
      <w:color w:val="0000FF"/>
      <w:u w:val="single"/>
    </w:rPr>
  </w:style>
  <w:style w:type="paragraph" w:styleId="NormalWeb">
    <w:name w:val="Normal (Web)"/>
    <w:basedOn w:val="Normal"/>
    <w:uiPriority w:val="99"/>
    <w:rsid w:val="008233AF"/>
    <w:pPr>
      <w:spacing w:before="100" w:beforeAutospacing="1" w:after="100" w:afterAutospacing="1"/>
    </w:pPr>
    <w:rPr>
      <w:lang w:val="en-GB" w:eastAsia="en-GB"/>
    </w:rPr>
  </w:style>
  <w:style w:type="character" w:customStyle="1" w:styleId="undirsidaproductheader1">
    <w:name w:val="undirsidaproductheader1"/>
    <w:basedOn w:val="DefaultParagraphFont"/>
    <w:uiPriority w:val="99"/>
    <w:rsid w:val="008233AF"/>
    <w:rPr>
      <w:rFonts w:ascii="Verdana" w:hAnsi="Verdana" w:cs="Times New Roman"/>
      <w:b/>
      <w:bCs/>
      <w:color w:val="000000"/>
      <w:sz w:val="18"/>
      <w:szCs w:val="18"/>
    </w:rPr>
  </w:style>
  <w:style w:type="paragraph" w:styleId="Footer">
    <w:name w:val="footer"/>
    <w:basedOn w:val="Normal"/>
    <w:link w:val="FooterChar"/>
    <w:uiPriority w:val="99"/>
    <w:rsid w:val="008233AF"/>
    <w:pPr>
      <w:tabs>
        <w:tab w:val="center" w:pos="4536"/>
        <w:tab w:val="right" w:pos="9072"/>
      </w:tabs>
    </w:pPr>
  </w:style>
  <w:style w:type="character" w:customStyle="1" w:styleId="FooterChar">
    <w:name w:val="Footer Char"/>
    <w:basedOn w:val="DefaultParagraphFont"/>
    <w:link w:val="Footer"/>
    <w:uiPriority w:val="99"/>
    <w:semiHidden/>
    <w:locked/>
    <w:rsid w:val="009B2931"/>
    <w:rPr>
      <w:rFonts w:cs="Times New Roman"/>
      <w:sz w:val="24"/>
      <w:szCs w:val="24"/>
    </w:rPr>
  </w:style>
  <w:style w:type="character" w:styleId="PageNumber">
    <w:name w:val="page number"/>
    <w:basedOn w:val="DefaultParagraphFont"/>
    <w:uiPriority w:val="99"/>
    <w:rsid w:val="008233AF"/>
    <w:rPr>
      <w:rFonts w:cs="Times New Roman"/>
    </w:rPr>
  </w:style>
  <w:style w:type="character" w:styleId="Strong">
    <w:name w:val="Strong"/>
    <w:basedOn w:val="DefaultParagraphFont"/>
    <w:uiPriority w:val="99"/>
    <w:qFormat/>
    <w:rsid w:val="008233AF"/>
    <w:rPr>
      <w:rFonts w:cs="Times New Roman"/>
      <w:b/>
      <w:bCs/>
    </w:rPr>
  </w:style>
  <w:style w:type="paragraph" w:customStyle="1" w:styleId="Text">
    <w:name w:val="Text"/>
    <w:basedOn w:val="Normal"/>
    <w:uiPriority w:val="99"/>
    <w:rsid w:val="00B51993"/>
    <w:pPr>
      <w:spacing w:before="240"/>
      <w:jc w:val="both"/>
    </w:pPr>
    <w:rPr>
      <w:rFonts w:ascii="Arial" w:hAnsi="Arial"/>
      <w:sz w:val="22"/>
      <w:szCs w:val="20"/>
      <w:lang w:val="is-IS"/>
    </w:rPr>
  </w:style>
  <w:style w:type="paragraph" w:styleId="BodyText">
    <w:name w:val="Body Text"/>
    <w:basedOn w:val="Normal"/>
    <w:link w:val="BodyTextChar"/>
    <w:uiPriority w:val="99"/>
    <w:rsid w:val="00B51993"/>
    <w:pPr>
      <w:spacing w:before="240"/>
      <w:jc w:val="both"/>
    </w:pPr>
    <w:rPr>
      <w:rFonts w:ascii="Arial" w:hAnsi="Arial"/>
      <w:sz w:val="22"/>
      <w:szCs w:val="20"/>
      <w:lang w:val="en-AU"/>
    </w:rPr>
  </w:style>
  <w:style w:type="character" w:customStyle="1" w:styleId="BodyTextChar">
    <w:name w:val="Body Text Char"/>
    <w:basedOn w:val="DefaultParagraphFont"/>
    <w:link w:val="BodyText"/>
    <w:uiPriority w:val="99"/>
    <w:locked/>
    <w:rsid w:val="00B51993"/>
    <w:rPr>
      <w:rFonts w:ascii="Arial" w:hAnsi="Arial" w:cs="Times New Roman"/>
      <w:sz w:val="22"/>
      <w:lang w:val="en-AU"/>
    </w:rPr>
  </w:style>
  <w:style w:type="paragraph" w:styleId="BodyText3">
    <w:name w:val="Body Text 3"/>
    <w:basedOn w:val="Normal"/>
    <w:link w:val="BodyText3Char"/>
    <w:uiPriority w:val="99"/>
    <w:rsid w:val="00B51993"/>
    <w:pPr>
      <w:spacing w:before="240"/>
      <w:jc w:val="both"/>
    </w:pPr>
    <w:rPr>
      <w:rFonts w:ascii="Arial" w:hAnsi="Arial" w:cs="Arial"/>
      <w:color w:val="000000"/>
      <w:sz w:val="22"/>
      <w:szCs w:val="20"/>
      <w:lang w:val="is-IS"/>
    </w:rPr>
  </w:style>
  <w:style w:type="character" w:customStyle="1" w:styleId="BodyText3Char">
    <w:name w:val="Body Text 3 Char"/>
    <w:basedOn w:val="DefaultParagraphFont"/>
    <w:link w:val="BodyText3"/>
    <w:uiPriority w:val="99"/>
    <w:locked/>
    <w:rsid w:val="00B51993"/>
    <w:rPr>
      <w:rFonts w:ascii="Arial" w:hAnsi="Arial" w:cs="Arial"/>
      <w:color w:val="000000"/>
      <w:sz w:val="22"/>
      <w:lang w:val="is-IS"/>
    </w:rPr>
  </w:style>
  <w:style w:type="paragraph" w:styleId="ListParagraph">
    <w:name w:val="List Paragraph"/>
    <w:basedOn w:val="Normal"/>
    <w:uiPriority w:val="99"/>
    <w:qFormat/>
    <w:rsid w:val="00DB04EA"/>
    <w:pPr>
      <w:ind w:left="720"/>
      <w:contextualSpacing/>
    </w:pPr>
    <w:rPr>
      <w:sz w:val="20"/>
      <w:szCs w:val="20"/>
      <w:lang w:val="is-IS"/>
    </w:rPr>
  </w:style>
  <w:style w:type="paragraph" w:styleId="BalloonText">
    <w:name w:val="Balloon Text"/>
    <w:basedOn w:val="Normal"/>
    <w:link w:val="BalloonTextChar"/>
    <w:uiPriority w:val="99"/>
    <w:rsid w:val="00807872"/>
    <w:rPr>
      <w:rFonts w:ascii="Tahoma" w:hAnsi="Tahoma" w:cs="Tahoma"/>
      <w:sz w:val="16"/>
      <w:szCs w:val="16"/>
    </w:rPr>
  </w:style>
  <w:style w:type="character" w:customStyle="1" w:styleId="BalloonTextChar">
    <w:name w:val="Balloon Text Char"/>
    <w:basedOn w:val="DefaultParagraphFont"/>
    <w:link w:val="BalloonText"/>
    <w:uiPriority w:val="99"/>
    <w:locked/>
    <w:rsid w:val="008078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5378789">
      <w:bodyDiv w:val="1"/>
      <w:marLeft w:val="0"/>
      <w:marRight w:val="0"/>
      <w:marTop w:val="68"/>
      <w:marBottom w:val="0"/>
      <w:divBdr>
        <w:top w:val="none" w:sz="0" w:space="0" w:color="auto"/>
        <w:left w:val="none" w:sz="0" w:space="0" w:color="auto"/>
        <w:bottom w:val="none" w:sz="0" w:space="0" w:color="auto"/>
        <w:right w:val="none" w:sz="0" w:space="0" w:color="auto"/>
      </w:divBdr>
      <w:divsChild>
        <w:div w:id="2084445859">
          <w:marLeft w:val="0"/>
          <w:marRight w:val="0"/>
          <w:marTop w:val="68"/>
          <w:marBottom w:val="68"/>
          <w:divBdr>
            <w:top w:val="none" w:sz="0" w:space="0" w:color="auto"/>
            <w:left w:val="none" w:sz="0" w:space="0" w:color="auto"/>
            <w:bottom w:val="none" w:sz="0" w:space="0" w:color="auto"/>
            <w:right w:val="none" w:sz="0" w:space="0" w:color="auto"/>
          </w:divBdr>
          <w:divsChild>
            <w:div w:id="891886377">
              <w:marLeft w:val="0"/>
              <w:marRight w:val="0"/>
              <w:marTop w:val="0"/>
              <w:marBottom w:val="0"/>
              <w:divBdr>
                <w:top w:val="none" w:sz="0" w:space="0" w:color="auto"/>
                <w:left w:val="none" w:sz="0" w:space="0" w:color="auto"/>
                <w:bottom w:val="none" w:sz="0" w:space="0" w:color="auto"/>
                <w:right w:val="none" w:sz="0" w:space="0" w:color="auto"/>
              </w:divBdr>
              <w:divsChild>
                <w:div w:id="2102797109">
                  <w:marLeft w:val="0"/>
                  <w:marRight w:val="0"/>
                  <w:marTop w:val="0"/>
                  <w:marBottom w:val="0"/>
                  <w:divBdr>
                    <w:top w:val="single" w:sz="6" w:space="1" w:color="ECEFF2"/>
                    <w:left w:val="single" w:sz="6" w:space="1" w:color="ECEFF2"/>
                    <w:bottom w:val="single" w:sz="6" w:space="1" w:color="ECEFF2"/>
                    <w:right w:val="single" w:sz="6" w:space="1" w:color="ECEFF2"/>
                  </w:divBdr>
                  <w:divsChild>
                    <w:div w:id="43219272">
                      <w:marLeft w:val="0"/>
                      <w:marRight w:val="0"/>
                      <w:marTop w:val="0"/>
                      <w:marBottom w:val="0"/>
                      <w:divBdr>
                        <w:top w:val="none" w:sz="0" w:space="0" w:color="auto"/>
                        <w:left w:val="none" w:sz="0" w:space="0" w:color="auto"/>
                        <w:bottom w:val="none" w:sz="0" w:space="0" w:color="auto"/>
                        <w:right w:val="none" w:sz="0" w:space="0" w:color="auto"/>
                      </w:divBdr>
                      <w:divsChild>
                        <w:div w:id="85612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430630">
      <w:bodyDiv w:val="1"/>
      <w:marLeft w:val="0"/>
      <w:marRight w:val="0"/>
      <w:marTop w:val="0"/>
      <w:marBottom w:val="0"/>
      <w:divBdr>
        <w:top w:val="none" w:sz="0" w:space="0" w:color="auto"/>
        <w:left w:val="none" w:sz="0" w:space="0" w:color="auto"/>
        <w:bottom w:val="none" w:sz="0" w:space="0" w:color="auto"/>
        <w:right w:val="none" w:sz="0" w:space="0" w:color="auto"/>
      </w:divBdr>
    </w:div>
    <w:div w:id="1961572865">
      <w:marLeft w:val="0"/>
      <w:marRight w:val="0"/>
      <w:marTop w:val="0"/>
      <w:marBottom w:val="0"/>
      <w:divBdr>
        <w:top w:val="none" w:sz="0" w:space="0" w:color="auto"/>
        <w:left w:val="none" w:sz="0" w:space="0" w:color="auto"/>
        <w:bottom w:val="none" w:sz="0" w:space="0" w:color="auto"/>
        <w:right w:val="none" w:sz="0" w:space="0" w:color="auto"/>
      </w:divBdr>
      <w:divsChild>
        <w:div w:id="1961572866">
          <w:marLeft w:val="0"/>
          <w:marRight w:val="0"/>
          <w:marTop w:val="0"/>
          <w:marBottom w:val="0"/>
          <w:divBdr>
            <w:top w:val="none" w:sz="0" w:space="0" w:color="auto"/>
            <w:left w:val="none" w:sz="0" w:space="0" w:color="auto"/>
            <w:bottom w:val="none" w:sz="0" w:space="0" w:color="auto"/>
            <w:right w:val="none" w:sz="0" w:space="0" w:color="auto"/>
          </w:divBdr>
          <w:divsChild>
            <w:div w:id="1961572864">
              <w:marLeft w:val="0"/>
              <w:marRight w:val="0"/>
              <w:marTop w:val="0"/>
              <w:marBottom w:val="0"/>
              <w:divBdr>
                <w:top w:val="none" w:sz="0" w:space="0" w:color="auto"/>
                <w:left w:val="none" w:sz="0" w:space="0" w:color="auto"/>
                <w:bottom w:val="none" w:sz="0" w:space="0" w:color="auto"/>
                <w:right w:val="none" w:sz="0" w:space="0" w:color="auto"/>
              </w:divBdr>
              <w:divsChild>
                <w:div w:id="1961572863">
                  <w:marLeft w:val="0"/>
                  <w:marRight w:val="0"/>
                  <w:marTop w:val="0"/>
                  <w:marBottom w:val="0"/>
                  <w:divBdr>
                    <w:top w:val="none" w:sz="0" w:space="0" w:color="auto"/>
                    <w:left w:val="none" w:sz="0" w:space="0" w:color="auto"/>
                    <w:bottom w:val="none" w:sz="0" w:space="0" w:color="auto"/>
                    <w:right w:val="none" w:sz="0" w:space="0" w:color="auto"/>
                  </w:divBdr>
                  <w:divsChild>
                    <w:div w:id="196157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572872">
      <w:marLeft w:val="0"/>
      <w:marRight w:val="0"/>
      <w:marTop w:val="68"/>
      <w:marBottom w:val="0"/>
      <w:divBdr>
        <w:top w:val="none" w:sz="0" w:space="0" w:color="auto"/>
        <w:left w:val="none" w:sz="0" w:space="0" w:color="auto"/>
        <w:bottom w:val="none" w:sz="0" w:space="0" w:color="auto"/>
        <w:right w:val="none" w:sz="0" w:space="0" w:color="auto"/>
      </w:divBdr>
      <w:divsChild>
        <w:div w:id="1961572879">
          <w:marLeft w:val="0"/>
          <w:marRight w:val="0"/>
          <w:marTop w:val="68"/>
          <w:marBottom w:val="68"/>
          <w:divBdr>
            <w:top w:val="none" w:sz="0" w:space="0" w:color="auto"/>
            <w:left w:val="none" w:sz="0" w:space="0" w:color="auto"/>
            <w:bottom w:val="none" w:sz="0" w:space="0" w:color="auto"/>
            <w:right w:val="none" w:sz="0" w:space="0" w:color="auto"/>
          </w:divBdr>
          <w:divsChild>
            <w:div w:id="1961572881">
              <w:marLeft w:val="0"/>
              <w:marRight w:val="0"/>
              <w:marTop w:val="0"/>
              <w:marBottom w:val="0"/>
              <w:divBdr>
                <w:top w:val="none" w:sz="0" w:space="0" w:color="auto"/>
                <w:left w:val="none" w:sz="0" w:space="0" w:color="auto"/>
                <w:bottom w:val="none" w:sz="0" w:space="0" w:color="auto"/>
                <w:right w:val="none" w:sz="0" w:space="0" w:color="auto"/>
              </w:divBdr>
              <w:divsChild>
                <w:div w:id="1961572869">
                  <w:marLeft w:val="0"/>
                  <w:marRight w:val="0"/>
                  <w:marTop w:val="0"/>
                  <w:marBottom w:val="0"/>
                  <w:divBdr>
                    <w:top w:val="single" w:sz="6" w:space="1" w:color="ECEFF2"/>
                    <w:left w:val="single" w:sz="6" w:space="1" w:color="ECEFF2"/>
                    <w:bottom w:val="single" w:sz="6" w:space="1" w:color="ECEFF2"/>
                    <w:right w:val="single" w:sz="6" w:space="1" w:color="ECEFF2"/>
                  </w:divBdr>
                  <w:divsChild>
                    <w:div w:id="1961572868">
                      <w:marLeft w:val="0"/>
                      <w:marRight w:val="0"/>
                      <w:marTop w:val="0"/>
                      <w:marBottom w:val="0"/>
                      <w:divBdr>
                        <w:top w:val="none" w:sz="0" w:space="0" w:color="auto"/>
                        <w:left w:val="none" w:sz="0" w:space="0" w:color="auto"/>
                        <w:bottom w:val="none" w:sz="0" w:space="0" w:color="auto"/>
                        <w:right w:val="none" w:sz="0" w:space="0" w:color="auto"/>
                      </w:divBdr>
                      <w:divsChild>
                        <w:div w:id="196157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572873">
      <w:marLeft w:val="0"/>
      <w:marRight w:val="0"/>
      <w:marTop w:val="68"/>
      <w:marBottom w:val="0"/>
      <w:divBdr>
        <w:top w:val="none" w:sz="0" w:space="0" w:color="auto"/>
        <w:left w:val="none" w:sz="0" w:space="0" w:color="auto"/>
        <w:bottom w:val="none" w:sz="0" w:space="0" w:color="auto"/>
        <w:right w:val="none" w:sz="0" w:space="0" w:color="auto"/>
      </w:divBdr>
      <w:divsChild>
        <w:div w:id="1961572874">
          <w:marLeft w:val="0"/>
          <w:marRight w:val="0"/>
          <w:marTop w:val="68"/>
          <w:marBottom w:val="68"/>
          <w:divBdr>
            <w:top w:val="none" w:sz="0" w:space="0" w:color="auto"/>
            <w:left w:val="none" w:sz="0" w:space="0" w:color="auto"/>
            <w:bottom w:val="none" w:sz="0" w:space="0" w:color="auto"/>
            <w:right w:val="none" w:sz="0" w:space="0" w:color="auto"/>
          </w:divBdr>
          <w:divsChild>
            <w:div w:id="1961572877">
              <w:marLeft w:val="0"/>
              <w:marRight w:val="0"/>
              <w:marTop w:val="0"/>
              <w:marBottom w:val="0"/>
              <w:divBdr>
                <w:top w:val="none" w:sz="0" w:space="0" w:color="auto"/>
                <w:left w:val="none" w:sz="0" w:space="0" w:color="auto"/>
                <w:bottom w:val="none" w:sz="0" w:space="0" w:color="auto"/>
                <w:right w:val="none" w:sz="0" w:space="0" w:color="auto"/>
              </w:divBdr>
              <w:divsChild>
                <w:div w:id="1961572870">
                  <w:marLeft w:val="0"/>
                  <w:marRight w:val="0"/>
                  <w:marTop w:val="0"/>
                  <w:marBottom w:val="0"/>
                  <w:divBdr>
                    <w:top w:val="single" w:sz="6" w:space="1" w:color="ECEFF2"/>
                    <w:left w:val="single" w:sz="6" w:space="1" w:color="ECEFF2"/>
                    <w:bottom w:val="single" w:sz="6" w:space="1" w:color="ECEFF2"/>
                    <w:right w:val="single" w:sz="6" w:space="1" w:color="ECEFF2"/>
                  </w:divBdr>
                  <w:divsChild>
                    <w:div w:id="1961572871">
                      <w:marLeft w:val="0"/>
                      <w:marRight w:val="0"/>
                      <w:marTop w:val="0"/>
                      <w:marBottom w:val="0"/>
                      <w:divBdr>
                        <w:top w:val="none" w:sz="0" w:space="0" w:color="auto"/>
                        <w:left w:val="none" w:sz="0" w:space="0" w:color="auto"/>
                        <w:bottom w:val="none" w:sz="0" w:space="0" w:color="auto"/>
                        <w:right w:val="none" w:sz="0" w:space="0" w:color="auto"/>
                      </w:divBdr>
                      <w:divsChild>
                        <w:div w:id="196157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572883">
      <w:marLeft w:val="0"/>
      <w:marRight w:val="0"/>
      <w:marTop w:val="68"/>
      <w:marBottom w:val="0"/>
      <w:divBdr>
        <w:top w:val="none" w:sz="0" w:space="0" w:color="auto"/>
        <w:left w:val="none" w:sz="0" w:space="0" w:color="auto"/>
        <w:bottom w:val="none" w:sz="0" w:space="0" w:color="auto"/>
        <w:right w:val="none" w:sz="0" w:space="0" w:color="auto"/>
      </w:divBdr>
      <w:divsChild>
        <w:div w:id="1961572880">
          <w:marLeft w:val="0"/>
          <w:marRight w:val="0"/>
          <w:marTop w:val="68"/>
          <w:marBottom w:val="68"/>
          <w:divBdr>
            <w:top w:val="none" w:sz="0" w:space="0" w:color="auto"/>
            <w:left w:val="none" w:sz="0" w:space="0" w:color="auto"/>
            <w:bottom w:val="none" w:sz="0" w:space="0" w:color="auto"/>
            <w:right w:val="none" w:sz="0" w:space="0" w:color="auto"/>
          </w:divBdr>
          <w:divsChild>
            <w:div w:id="1961572861">
              <w:marLeft w:val="0"/>
              <w:marRight w:val="0"/>
              <w:marTop w:val="0"/>
              <w:marBottom w:val="0"/>
              <w:divBdr>
                <w:top w:val="none" w:sz="0" w:space="0" w:color="auto"/>
                <w:left w:val="none" w:sz="0" w:space="0" w:color="auto"/>
                <w:bottom w:val="none" w:sz="0" w:space="0" w:color="auto"/>
                <w:right w:val="none" w:sz="0" w:space="0" w:color="auto"/>
              </w:divBdr>
              <w:divsChild>
                <w:div w:id="1961572862">
                  <w:marLeft w:val="0"/>
                  <w:marRight w:val="0"/>
                  <w:marTop w:val="0"/>
                  <w:marBottom w:val="0"/>
                  <w:divBdr>
                    <w:top w:val="single" w:sz="6" w:space="1" w:color="ECEFF2"/>
                    <w:left w:val="single" w:sz="6" w:space="1" w:color="ECEFF2"/>
                    <w:bottom w:val="single" w:sz="6" w:space="1" w:color="ECEFF2"/>
                    <w:right w:val="single" w:sz="6" w:space="1" w:color="ECEFF2"/>
                  </w:divBdr>
                  <w:divsChild>
                    <w:div w:id="1961572882">
                      <w:marLeft w:val="0"/>
                      <w:marRight w:val="0"/>
                      <w:marTop w:val="0"/>
                      <w:marBottom w:val="0"/>
                      <w:divBdr>
                        <w:top w:val="none" w:sz="0" w:space="0" w:color="auto"/>
                        <w:left w:val="none" w:sz="0" w:space="0" w:color="auto"/>
                        <w:bottom w:val="none" w:sz="0" w:space="0" w:color="auto"/>
                        <w:right w:val="none" w:sz="0" w:space="0" w:color="auto"/>
                      </w:divBdr>
                      <w:divsChild>
                        <w:div w:id="19615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66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9C149-41AA-43A9-8357-873040055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2551</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Press Release</vt:lpstr>
    </vt:vector>
  </TitlesOfParts>
  <Company>MAREL HF</Company>
  <LinksUpToDate>false</LinksUpToDate>
  <CharactersWithSpaces>17058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Ásgerður Á. Jóhannsdóttir</dc:creator>
  <cp:keywords/>
  <dc:description/>
  <cp:lastModifiedBy>Bergþóra Einarsdóttir</cp:lastModifiedBy>
  <cp:revision>2</cp:revision>
  <cp:lastPrinted>2009-02-10T17:04:00Z</cp:lastPrinted>
  <dcterms:created xsi:type="dcterms:W3CDTF">2009-02-10T18:05:00Z</dcterms:created>
  <dcterms:modified xsi:type="dcterms:W3CDTF">2009-02-10T18:05:00Z</dcterms:modified>
</cp:coreProperties>
</file>