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7B291" w14:textId="7F9AC965" w:rsidR="00EB31B1" w:rsidRPr="0045129C" w:rsidRDefault="00A207D4" w:rsidP="0045129C">
      <w:pPr>
        <w:tabs>
          <w:tab w:val="left" w:pos="2294"/>
        </w:tabs>
        <w:jc w:val="both"/>
        <w:rPr>
          <w:szCs w:val="20"/>
        </w:rPr>
      </w:pPr>
      <w:r w:rsidRPr="005B6FEE">
        <w:rPr>
          <w:szCs w:val="20"/>
        </w:rPr>
        <w:t xml:space="preserve"> </w:t>
      </w:r>
      <w:bookmarkStart w:id="0" w:name="_Hlk536435135"/>
    </w:p>
    <w:p w14:paraId="10325462" w14:textId="561D495F" w:rsidR="002012C6" w:rsidRPr="00EB31B1" w:rsidRDefault="002012C6" w:rsidP="00EB31B1">
      <w:pPr>
        <w:pStyle w:val="Default"/>
        <w:spacing w:after="120"/>
        <w:jc w:val="center"/>
        <w:rPr>
          <w:b/>
          <w:bCs/>
        </w:rPr>
      </w:pPr>
      <w:r>
        <w:rPr>
          <w:b/>
          <w:bCs/>
        </w:rPr>
        <w:t>2018 Toronto Commercial and Residential Real Estate Market Takes a Breather</w:t>
      </w:r>
    </w:p>
    <w:p w14:paraId="2580A025" w14:textId="24C7824C" w:rsidR="00EB31B1" w:rsidRDefault="00EB31B1" w:rsidP="00EB31B1">
      <w:pPr>
        <w:pStyle w:val="Default"/>
        <w:jc w:val="center"/>
        <w:rPr>
          <w:i/>
          <w:sz w:val="20"/>
        </w:rPr>
      </w:pPr>
      <w:bookmarkStart w:id="1" w:name="_Hlk536620370"/>
      <w:r>
        <w:rPr>
          <w:i/>
          <w:sz w:val="20"/>
        </w:rPr>
        <w:t>Altus Group data reveals that commercial property investment and new condo sal</w:t>
      </w:r>
      <w:r w:rsidR="00BF60BD">
        <w:rPr>
          <w:i/>
          <w:sz w:val="20"/>
        </w:rPr>
        <w:t>es were down from 2017’s record levels</w:t>
      </w:r>
      <w:r>
        <w:rPr>
          <w:i/>
          <w:sz w:val="20"/>
        </w:rPr>
        <w:t>, while</w:t>
      </w:r>
      <w:r w:rsidR="00BF60BD">
        <w:rPr>
          <w:i/>
          <w:sz w:val="20"/>
        </w:rPr>
        <w:t xml:space="preserve"> </w:t>
      </w:r>
      <w:r w:rsidR="00F01684">
        <w:rPr>
          <w:i/>
          <w:sz w:val="20"/>
        </w:rPr>
        <w:t>absorptions of</w:t>
      </w:r>
      <w:r w:rsidR="009829DC">
        <w:rPr>
          <w:i/>
          <w:sz w:val="20"/>
        </w:rPr>
        <w:t xml:space="preserve"> office and industrial</w:t>
      </w:r>
      <w:r>
        <w:rPr>
          <w:i/>
          <w:sz w:val="20"/>
        </w:rPr>
        <w:t xml:space="preserve"> </w:t>
      </w:r>
      <w:r w:rsidR="00F01684">
        <w:rPr>
          <w:i/>
          <w:sz w:val="20"/>
        </w:rPr>
        <w:t>space</w:t>
      </w:r>
      <w:r>
        <w:rPr>
          <w:i/>
          <w:sz w:val="20"/>
        </w:rPr>
        <w:t xml:space="preserve"> </w:t>
      </w:r>
      <w:r w:rsidR="0070482B">
        <w:rPr>
          <w:i/>
          <w:sz w:val="20"/>
        </w:rPr>
        <w:t xml:space="preserve">and transactions in the rental apartment sector </w:t>
      </w:r>
      <w:r>
        <w:rPr>
          <w:i/>
          <w:sz w:val="20"/>
        </w:rPr>
        <w:t xml:space="preserve">were </w:t>
      </w:r>
      <w:r w:rsidR="00BF60BD">
        <w:rPr>
          <w:i/>
          <w:sz w:val="20"/>
        </w:rPr>
        <w:t>more robust</w:t>
      </w:r>
    </w:p>
    <w:bookmarkEnd w:id="0"/>
    <w:bookmarkEnd w:id="1"/>
    <w:p w14:paraId="30290658" w14:textId="2B578417" w:rsidR="00291B3D" w:rsidRPr="00D73645" w:rsidRDefault="00291B3D" w:rsidP="0045129C">
      <w:pPr>
        <w:pStyle w:val="Default"/>
        <w:rPr>
          <w:i/>
          <w:highlight w:val="yellow"/>
        </w:rPr>
      </w:pPr>
    </w:p>
    <w:p w14:paraId="34AA1C14" w14:textId="457F8868" w:rsidR="00EB31B1" w:rsidRDefault="00911A27" w:rsidP="00F63724">
      <w:pPr>
        <w:jc w:val="both"/>
      </w:pPr>
      <w:r w:rsidRPr="00CD21E5">
        <w:rPr>
          <w:b/>
          <w:bCs/>
          <w:color w:val="000000"/>
          <w:szCs w:val="20"/>
        </w:rPr>
        <w:t xml:space="preserve">TORONTO </w:t>
      </w:r>
      <w:r w:rsidRPr="00CD21E5">
        <w:rPr>
          <w:color w:val="000000"/>
          <w:szCs w:val="20"/>
        </w:rPr>
        <w:t>(</w:t>
      </w:r>
      <w:r w:rsidR="00272C94">
        <w:rPr>
          <w:color w:val="000000"/>
        </w:rPr>
        <w:t>February 1, 2019</w:t>
      </w:r>
      <w:r w:rsidRPr="00CD21E5">
        <w:rPr>
          <w:color w:val="000000"/>
          <w:szCs w:val="20"/>
        </w:rPr>
        <w:t>) -</w:t>
      </w:r>
      <w:r w:rsidRPr="00CD21E5">
        <w:rPr>
          <w:color w:val="000000"/>
        </w:rPr>
        <w:t xml:space="preserve"> </w:t>
      </w:r>
      <w:r w:rsidR="0087129D" w:rsidRPr="00CD21E5">
        <w:rPr>
          <w:color w:val="000000"/>
        </w:rPr>
        <w:t xml:space="preserve">Altus </w:t>
      </w:r>
      <w:r w:rsidR="0087129D" w:rsidRPr="00CD21E5">
        <w:rPr>
          <w:color w:val="000000"/>
          <w:szCs w:val="20"/>
        </w:rPr>
        <w:t xml:space="preserve">Group Limited </w:t>
      </w:r>
      <w:r w:rsidR="003D7D30">
        <w:rPr>
          <w:szCs w:val="20"/>
        </w:rPr>
        <w:t>(“Altus Group”</w:t>
      </w:r>
      <w:r w:rsidR="0087129D" w:rsidRPr="00CD21E5">
        <w:rPr>
          <w:szCs w:val="20"/>
        </w:rPr>
        <w:t xml:space="preserve">) (TSX: AIF), </w:t>
      </w:r>
      <w:r w:rsidR="006426EB" w:rsidRPr="00C63929">
        <w:rPr>
          <w:szCs w:val="20"/>
        </w:rPr>
        <w:t>a leading provider of software, data solutions and independent advisory services to the global commerci</w:t>
      </w:r>
      <w:r w:rsidR="006426EB">
        <w:rPr>
          <w:szCs w:val="20"/>
        </w:rPr>
        <w:t>al real</w:t>
      </w:r>
      <w:bookmarkStart w:id="2" w:name="_GoBack"/>
      <w:bookmarkEnd w:id="2"/>
      <w:r w:rsidR="006426EB">
        <w:rPr>
          <w:szCs w:val="20"/>
        </w:rPr>
        <w:t xml:space="preserve"> estate industry</w:t>
      </w:r>
      <w:r w:rsidR="0087129D" w:rsidRPr="00CD21E5">
        <w:t xml:space="preserve">, </w:t>
      </w:r>
      <w:r w:rsidR="0087129D" w:rsidRPr="00CD21E5">
        <w:rPr>
          <w:color w:val="000000"/>
        </w:rPr>
        <w:t xml:space="preserve">today released </w:t>
      </w:r>
      <w:r w:rsidR="000B61AA">
        <w:rPr>
          <w:color w:val="000000"/>
        </w:rPr>
        <w:t xml:space="preserve">its </w:t>
      </w:r>
      <w:r w:rsidR="0087129D" w:rsidRPr="0045129C">
        <w:rPr>
          <w:i/>
          <w:color w:val="000000"/>
        </w:rPr>
        <w:t>201</w:t>
      </w:r>
      <w:r w:rsidR="00AE2D03" w:rsidRPr="0045129C">
        <w:rPr>
          <w:i/>
          <w:color w:val="000000"/>
        </w:rPr>
        <w:t>9</w:t>
      </w:r>
      <w:r w:rsidR="0087129D" w:rsidRPr="0045129C">
        <w:rPr>
          <w:i/>
          <w:color w:val="000000"/>
        </w:rPr>
        <w:t xml:space="preserve"> GTA Flash Report</w:t>
      </w:r>
      <w:r w:rsidR="0087129D" w:rsidRPr="00CD21E5">
        <w:rPr>
          <w:color w:val="000000"/>
        </w:rPr>
        <w:t xml:space="preserve">, which provides a </w:t>
      </w:r>
      <w:r w:rsidR="0087129D">
        <w:rPr>
          <w:color w:val="000000"/>
        </w:rPr>
        <w:t xml:space="preserve">comprehensive </w:t>
      </w:r>
      <w:r w:rsidR="0087129D" w:rsidRPr="00CD21E5">
        <w:rPr>
          <w:color w:val="000000"/>
        </w:rPr>
        <w:t xml:space="preserve">review of </w:t>
      </w:r>
      <w:r w:rsidR="0087129D">
        <w:rPr>
          <w:color w:val="000000"/>
        </w:rPr>
        <w:t xml:space="preserve">the </w:t>
      </w:r>
      <w:r w:rsidR="0087129D" w:rsidRPr="00CD21E5">
        <w:rPr>
          <w:color w:val="000000"/>
        </w:rPr>
        <w:t xml:space="preserve">real estate market in </w:t>
      </w:r>
      <w:r w:rsidR="0087129D">
        <w:rPr>
          <w:color w:val="000000"/>
        </w:rPr>
        <w:t>the Greater Toronto Area</w:t>
      </w:r>
      <w:r w:rsidR="0087129D" w:rsidRPr="00CD21E5">
        <w:rPr>
          <w:color w:val="000000"/>
        </w:rPr>
        <w:t xml:space="preserve"> </w:t>
      </w:r>
      <w:r w:rsidR="0087129D">
        <w:rPr>
          <w:color w:val="000000"/>
        </w:rPr>
        <w:t xml:space="preserve">(“GTA”) </w:t>
      </w:r>
      <w:r w:rsidR="0087129D" w:rsidRPr="00CD21E5">
        <w:rPr>
          <w:color w:val="000000"/>
        </w:rPr>
        <w:t>based on 201</w:t>
      </w:r>
      <w:r w:rsidR="00AE2D03">
        <w:rPr>
          <w:color w:val="000000"/>
        </w:rPr>
        <w:t>8</w:t>
      </w:r>
      <w:r w:rsidR="0087129D" w:rsidRPr="00CD21E5">
        <w:rPr>
          <w:color w:val="000000"/>
        </w:rPr>
        <w:t xml:space="preserve"> </w:t>
      </w:r>
      <w:r w:rsidR="0087129D">
        <w:rPr>
          <w:color w:val="000000"/>
        </w:rPr>
        <w:t>Altus Group data</w:t>
      </w:r>
      <w:r w:rsidR="009A5984" w:rsidRPr="00583A05">
        <w:rPr>
          <w:color w:val="000000"/>
        </w:rPr>
        <w:t xml:space="preserve">. </w:t>
      </w:r>
      <w:r w:rsidR="00EB31B1">
        <w:t xml:space="preserve">The report highlights </w:t>
      </w:r>
      <w:r w:rsidR="00D3357B">
        <w:t>the performance of</w:t>
      </w:r>
      <w:r w:rsidR="00EB31B1">
        <w:t xml:space="preserve"> investment property sales volumes, </w:t>
      </w:r>
      <w:r w:rsidR="00D3357B">
        <w:t xml:space="preserve">land markets, </w:t>
      </w:r>
      <w:r w:rsidR="00EB31B1">
        <w:t>commercial leasing</w:t>
      </w:r>
      <w:r w:rsidR="00D3357B">
        <w:t xml:space="preserve"> and the new home </w:t>
      </w:r>
      <w:r w:rsidR="00EB31B1">
        <w:t>sectors in the GTA.</w:t>
      </w:r>
    </w:p>
    <w:p w14:paraId="48A0E46F" w14:textId="5F684A51" w:rsidR="002012C6" w:rsidRDefault="002012C6" w:rsidP="00F63724">
      <w:pPr>
        <w:jc w:val="both"/>
      </w:pPr>
    </w:p>
    <w:p w14:paraId="5F175128" w14:textId="5EBD0805" w:rsidR="00A70AAF" w:rsidRDefault="00BB6EE4" w:rsidP="00F63724">
      <w:pPr>
        <w:jc w:val="both"/>
        <w:rPr>
          <w:color w:val="000000" w:themeColor="text1"/>
        </w:rPr>
      </w:pPr>
      <w:r>
        <w:rPr>
          <w:color w:val="000000" w:themeColor="text1"/>
        </w:rPr>
        <w:t>Overall y</w:t>
      </w:r>
      <w:r w:rsidR="005A6106">
        <w:rPr>
          <w:color w:val="000000" w:themeColor="text1"/>
        </w:rPr>
        <w:t xml:space="preserve">ear-over-year </w:t>
      </w:r>
      <w:r>
        <w:rPr>
          <w:color w:val="000000" w:themeColor="text1"/>
        </w:rPr>
        <w:t>percentage change in</w:t>
      </w:r>
      <w:r w:rsidR="005A6106" w:rsidRPr="005A6106">
        <w:rPr>
          <w:color w:val="000000" w:themeColor="text1"/>
        </w:rPr>
        <w:t xml:space="preserve"> relative performance by market activity </w:t>
      </w:r>
      <w:r w:rsidR="005A6106">
        <w:rPr>
          <w:color w:val="000000" w:themeColor="text1"/>
        </w:rPr>
        <w:t>in the GTA:</w:t>
      </w:r>
    </w:p>
    <w:p w14:paraId="63346449" w14:textId="77777777" w:rsidR="005A6106" w:rsidRPr="005A6106" w:rsidRDefault="005A6106" w:rsidP="005A6106">
      <w:pPr>
        <w:jc w:val="both"/>
        <w:rPr>
          <w:rFonts w:ascii="Calibri" w:eastAsia="Calibri" w:hAnsi="Calibri"/>
          <w:color w:val="FF0000"/>
          <w:sz w:val="22"/>
          <w:szCs w:val="22"/>
          <w:lang w:eastAsia="en-US"/>
        </w:rPr>
      </w:pPr>
    </w:p>
    <w:tbl>
      <w:tblPr>
        <w:tblStyle w:val="TableGrid"/>
        <w:tblW w:w="0" w:type="auto"/>
        <w:tblLook w:val="04A0" w:firstRow="1" w:lastRow="0" w:firstColumn="1" w:lastColumn="0" w:noHBand="0" w:noVBand="1"/>
      </w:tblPr>
      <w:tblGrid>
        <w:gridCol w:w="5845"/>
        <w:gridCol w:w="4225"/>
      </w:tblGrid>
      <w:tr w:rsidR="005A6106" w14:paraId="2A380060" w14:textId="77777777" w:rsidTr="00BB6EE4">
        <w:tc>
          <w:tcPr>
            <w:tcW w:w="5845" w:type="dxa"/>
          </w:tcPr>
          <w:p w14:paraId="31C39440" w14:textId="6242A5D0" w:rsidR="005A6106" w:rsidRPr="0045274A" w:rsidRDefault="00CA3B25" w:rsidP="005A6106">
            <w:pPr>
              <w:jc w:val="both"/>
              <w:rPr>
                <w:b/>
                <w:color w:val="000000" w:themeColor="text1"/>
                <w:sz w:val="20"/>
              </w:rPr>
            </w:pPr>
            <w:r w:rsidRPr="0045274A">
              <w:rPr>
                <w:b/>
                <w:color w:val="000000" w:themeColor="text1"/>
                <w:sz w:val="20"/>
              </w:rPr>
              <w:t>Market a</w:t>
            </w:r>
            <w:r w:rsidR="005A6106" w:rsidRPr="0045274A">
              <w:rPr>
                <w:b/>
                <w:color w:val="000000" w:themeColor="text1"/>
                <w:sz w:val="20"/>
              </w:rPr>
              <w:t xml:space="preserve">ctivity </w:t>
            </w:r>
          </w:p>
        </w:tc>
        <w:tc>
          <w:tcPr>
            <w:tcW w:w="4225" w:type="dxa"/>
          </w:tcPr>
          <w:p w14:paraId="371B37CA" w14:textId="58FA7543" w:rsidR="005A6106" w:rsidRPr="0045274A" w:rsidRDefault="00BB6EE4" w:rsidP="00BB6EE4">
            <w:pPr>
              <w:rPr>
                <w:b/>
                <w:color w:val="000000" w:themeColor="text1"/>
                <w:sz w:val="20"/>
              </w:rPr>
            </w:pPr>
            <w:r w:rsidRPr="0045274A">
              <w:rPr>
                <w:b/>
                <w:color w:val="000000" w:themeColor="text1"/>
                <w:sz w:val="20"/>
              </w:rPr>
              <w:t xml:space="preserve">Year-over-year </w:t>
            </w:r>
            <w:r w:rsidR="005A6106" w:rsidRPr="0045274A">
              <w:rPr>
                <w:b/>
                <w:color w:val="000000" w:themeColor="text1"/>
                <w:sz w:val="20"/>
              </w:rPr>
              <w:t>% change in activity levels</w:t>
            </w:r>
          </w:p>
        </w:tc>
      </w:tr>
      <w:tr w:rsidR="005A6106" w14:paraId="54E530C2" w14:textId="77777777" w:rsidTr="00BB6EE4">
        <w:tc>
          <w:tcPr>
            <w:tcW w:w="5845" w:type="dxa"/>
          </w:tcPr>
          <w:p w14:paraId="41731AFF" w14:textId="069D653A" w:rsidR="005A6106" w:rsidRPr="0045274A" w:rsidRDefault="005A6106" w:rsidP="005A6106">
            <w:pPr>
              <w:jc w:val="both"/>
              <w:rPr>
                <w:color w:val="000000" w:themeColor="text1"/>
                <w:sz w:val="20"/>
              </w:rPr>
            </w:pPr>
            <w:r w:rsidRPr="0045274A">
              <w:rPr>
                <w:color w:val="000000" w:themeColor="text1"/>
                <w:sz w:val="20"/>
              </w:rPr>
              <w:t>New Single-</w:t>
            </w:r>
            <w:r w:rsidR="00BF60BD" w:rsidRPr="0045274A">
              <w:rPr>
                <w:color w:val="000000" w:themeColor="text1"/>
                <w:sz w:val="20"/>
              </w:rPr>
              <w:t>Family</w:t>
            </w:r>
            <w:r w:rsidRPr="0045274A">
              <w:rPr>
                <w:color w:val="000000" w:themeColor="text1"/>
                <w:sz w:val="20"/>
              </w:rPr>
              <w:t xml:space="preserve"> Home Sales</w:t>
            </w:r>
          </w:p>
        </w:tc>
        <w:tc>
          <w:tcPr>
            <w:tcW w:w="4225" w:type="dxa"/>
          </w:tcPr>
          <w:p w14:paraId="77DF8459" w14:textId="242F93F5" w:rsidR="005A6106" w:rsidRPr="0045274A" w:rsidRDefault="005A6106" w:rsidP="00BB6EE4">
            <w:pPr>
              <w:jc w:val="center"/>
              <w:rPr>
                <w:color w:val="FF0000"/>
                <w:sz w:val="20"/>
              </w:rPr>
            </w:pPr>
            <w:r w:rsidRPr="0045274A">
              <w:rPr>
                <w:color w:val="FF0000"/>
                <w:sz w:val="20"/>
              </w:rPr>
              <w:t>-50%</w:t>
            </w:r>
          </w:p>
        </w:tc>
      </w:tr>
      <w:tr w:rsidR="005A6106" w14:paraId="7B885C90" w14:textId="77777777" w:rsidTr="00BB6EE4">
        <w:tc>
          <w:tcPr>
            <w:tcW w:w="5845" w:type="dxa"/>
          </w:tcPr>
          <w:p w14:paraId="778C6800" w14:textId="5C242D37" w:rsidR="005A6106" w:rsidRPr="0045274A" w:rsidRDefault="005A6106" w:rsidP="005A6106">
            <w:pPr>
              <w:jc w:val="both"/>
              <w:rPr>
                <w:color w:val="000000" w:themeColor="text1"/>
                <w:sz w:val="20"/>
              </w:rPr>
            </w:pPr>
            <w:r w:rsidRPr="0045274A">
              <w:rPr>
                <w:color w:val="000000" w:themeColor="text1"/>
                <w:sz w:val="20"/>
              </w:rPr>
              <w:t xml:space="preserve">New </w:t>
            </w:r>
            <w:r w:rsidR="00BF60BD" w:rsidRPr="0045274A">
              <w:rPr>
                <w:color w:val="000000" w:themeColor="text1"/>
                <w:sz w:val="20"/>
              </w:rPr>
              <w:t>Condominium</w:t>
            </w:r>
            <w:r w:rsidRPr="0045274A">
              <w:rPr>
                <w:color w:val="000000" w:themeColor="text1"/>
                <w:sz w:val="20"/>
              </w:rPr>
              <w:t xml:space="preserve"> Apartment Sales</w:t>
            </w:r>
          </w:p>
        </w:tc>
        <w:tc>
          <w:tcPr>
            <w:tcW w:w="4225" w:type="dxa"/>
          </w:tcPr>
          <w:p w14:paraId="607ECCEC" w14:textId="04C99262" w:rsidR="005A6106" w:rsidRPr="0045274A" w:rsidRDefault="005A6106" w:rsidP="00BB6EE4">
            <w:pPr>
              <w:jc w:val="center"/>
              <w:rPr>
                <w:color w:val="FF0000"/>
                <w:sz w:val="20"/>
              </w:rPr>
            </w:pPr>
            <w:r w:rsidRPr="0045274A">
              <w:rPr>
                <w:color w:val="FF0000"/>
                <w:sz w:val="20"/>
              </w:rPr>
              <w:t>-38%</w:t>
            </w:r>
          </w:p>
        </w:tc>
      </w:tr>
      <w:tr w:rsidR="005A6106" w14:paraId="13160D8C" w14:textId="77777777" w:rsidTr="00BB6EE4">
        <w:tc>
          <w:tcPr>
            <w:tcW w:w="5845" w:type="dxa"/>
          </w:tcPr>
          <w:p w14:paraId="3953F08E" w14:textId="508866EF" w:rsidR="005A6106" w:rsidRPr="0045274A" w:rsidRDefault="00BF60BD" w:rsidP="005A6106">
            <w:pPr>
              <w:jc w:val="both"/>
              <w:rPr>
                <w:color w:val="000000" w:themeColor="text1"/>
                <w:sz w:val="20"/>
              </w:rPr>
            </w:pPr>
            <w:r w:rsidRPr="0045274A">
              <w:rPr>
                <w:color w:val="000000" w:themeColor="text1"/>
                <w:sz w:val="20"/>
              </w:rPr>
              <w:t>Investm</w:t>
            </w:r>
            <w:r w:rsidR="005A6106" w:rsidRPr="0045274A">
              <w:rPr>
                <w:color w:val="000000" w:themeColor="text1"/>
                <w:sz w:val="20"/>
              </w:rPr>
              <w:t>e</w:t>
            </w:r>
            <w:r w:rsidRPr="0045274A">
              <w:rPr>
                <w:color w:val="000000" w:themeColor="text1"/>
                <w:sz w:val="20"/>
              </w:rPr>
              <w:t>n</w:t>
            </w:r>
            <w:r w:rsidR="005A6106" w:rsidRPr="0045274A">
              <w:rPr>
                <w:color w:val="000000" w:themeColor="text1"/>
                <w:sz w:val="20"/>
              </w:rPr>
              <w:t>t Transaction $ Volumes, Improved Properties</w:t>
            </w:r>
          </w:p>
        </w:tc>
        <w:tc>
          <w:tcPr>
            <w:tcW w:w="4225" w:type="dxa"/>
          </w:tcPr>
          <w:p w14:paraId="64405552" w14:textId="236A311F" w:rsidR="005A6106" w:rsidRPr="0045274A" w:rsidRDefault="005A6106" w:rsidP="00BB6EE4">
            <w:pPr>
              <w:jc w:val="center"/>
              <w:rPr>
                <w:color w:val="FF0000"/>
                <w:sz w:val="20"/>
              </w:rPr>
            </w:pPr>
            <w:r w:rsidRPr="0045274A">
              <w:rPr>
                <w:color w:val="FF0000"/>
                <w:sz w:val="20"/>
              </w:rPr>
              <w:t>-1%</w:t>
            </w:r>
          </w:p>
        </w:tc>
      </w:tr>
      <w:tr w:rsidR="005A6106" w14:paraId="4E6562E0" w14:textId="77777777" w:rsidTr="00BB6EE4">
        <w:tc>
          <w:tcPr>
            <w:tcW w:w="5845" w:type="dxa"/>
          </w:tcPr>
          <w:p w14:paraId="501276C5" w14:textId="7C460EB0" w:rsidR="005A6106" w:rsidRPr="0045274A" w:rsidRDefault="00BF60BD" w:rsidP="005A6106">
            <w:pPr>
              <w:jc w:val="both"/>
              <w:rPr>
                <w:color w:val="000000" w:themeColor="text1"/>
                <w:sz w:val="20"/>
              </w:rPr>
            </w:pPr>
            <w:r w:rsidRPr="0045274A">
              <w:rPr>
                <w:color w:val="000000" w:themeColor="text1"/>
                <w:sz w:val="20"/>
              </w:rPr>
              <w:t>Investm</w:t>
            </w:r>
            <w:r w:rsidR="005A6106" w:rsidRPr="0045274A">
              <w:rPr>
                <w:color w:val="000000" w:themeColor="text1"/>
                <w:sz w:val="20"/>
              </w:rPr>
              <w:t>e</w:t>
            </w:r>
            <w:r w:rsidRPr="0045274A">
              <w:rPr>
                <w:color w:val="000000" w:themeColor="text1"/>
                <w:sz w:val="20"/>
              </w:rPr>
              <w:t>n</w:t>
            </w:r>
            <w:r w:rsidR="005A6106" w:rsidRPr="0045274A">
              <w:rPr>
                <w:color w:val="000000" w:themeColor="text1"/>
                <w:sz w:val="20"/>
              </w:rPr>
              <w:t>t Transaction $ Volumes, Land</w:t>
            </w:r>
          </w:p>
        </w:tc>
        <w:tc>
          <w:tcPr>
            <w:tcW w:w="4225" w:type="dxa"/>
          </w:tcPr>
          <w:p w14:paraId="6F634545" w14:textId="0F3C415A" w:rsidR="005A6106" w:rsidRPr="0045274A" w:rsidRDefault="005A6106" w:rsidP="00BB6EE4">
            <w:pPr>
              <w:jc w:val="center"/>
              <w:rPr>
                <w:color w:val="FF0000"/>
                <w:sz w:val="20"/>
              </w:rPr>
            </w:pPr>
            <w:r w:rsidRPr="0045274A">
              <w:rPr>
                <w:color w:val="FF0000"/>
                <w:sz w:val="20"/>
              </w:rPr>
              <w:t>-22%</w:t>
            </w:r>
          </w:p>
        </w:tc>
      </w:tr>
      <w:tr w:rsidR="005A6106" w14:paraId="454D083D" w14:textId="77777777" w:rsidTr="00BB6EE4">
        <w:tc>
          <w:tcPr>
            <w:tcW w:w="5845" w:type="dxa"/>
          </w:tcPr>
          <w:p w14:paraId="228EFA20" w14:textId="536F63F5" w:rsidR="005A6106" w:rsidRPr="0045274A" w:rsidRDefault="005A6106" w:rsidP="005A6106">
            <w:pPr>
              <w:jc w:val="both"/>
              <w:rPr>
                <w:color w:val="000000" w:themeColor="text1"/>
                <w:sz w:val="20"/>
              </w:rPr>
            </w:pPr>
            <w:r w:rsidRPr="0045274A">
              <w:rPr>
                <w:color w:val="000000" w:themeColor="text1"/>
                <w:sz w:val="20"/>
              </w:rPr>
              <w:t>Office Space Absorption</w:t>
            </w:r>
          </w:p>
        </w:tc>
        <w:tc>
          <w:tcPr>
            <w:tcW w:w="4225" w:type="dxa"/>
          </w:tcPr>
          <w:p w14:paraId="621E73CA" w14:textId="4A49AA08" w:rsidR="005A6106" w:rsidRPr="0045274A" w:rsidRDefault="005A6106" w:rsidP="00BB6EE4">
            <w:pPr>
              <w:jc w:val="center"/>
              <w:rPr>
                <w:color w:val="00B050"/>
                <w:sz w:val="20"/>
              </w:rPr>
            </w:pPr>
            <w:r w:rsidRPr="0045274A">
              <w:rPr>
                <w:color w:val="00B050"/>
                <w:sz w:val="20"/>
              </w:rPr>
              <w:t>18%</w:t>
            </w:r>
          </w:p>
        </w:tc>
      </w:tr>
      <w:tr w:rsidR="005A6106" w14:paraId="0ADB7EC6" w14:textId="77777777" w:rsidTr="00BB6EE4">
        <w:tc>
          <w:tcPr>
            <w:tcW w:w="5845" w:type="dxa"/>
          </w:tcPr>
          <w:p w14:paraId="3741EFAA" w14:textId="567EC32F" w:rsidR="005A6106" w:rsidRPr="0045274A" w:rsidRDefault="005A6106" w:rsidP="005A6106">
            <w:pPr>
              <w:jc w:val="both"/>
              <w:rPr>
                <w:color w:val="000000" w:themeColor="text1"/>
                <w:sz w:val="20"/>
              </w:rPr>
            </w:pPr>
            <w:r w:rsidRPr="0045274A">
              <w:rPr>
                <w:color w:val="000000" w:themeColor="text1"/>
                <w:sz w:val="20"/>
              </w:rPr>
              <w:t>Industrial Space Absorption</w:t>
            </w:r>
          </w:p>
        </w:tc>
        <w:tc>
          <w:tcPr>
            <w:tcW w:w="4225" w:type="dxa"/>
          </w:tcPr>
          <w:p w14:paraId="77942EFC" w14:textId="092BD6CA" w:rsidR="005A6106" w:rsidRPr="0045274A" w:rsidRDefault="005A6106" w:rsidP="00BB6EE4">
            <w:pPr>
              <w:jc w:val="center"/>
              <w:rPr>
                <w:color w:val="00B050"/>
                <w:sz w:val="20"/>
              </w:rPr>
            </w:pPr>
            <w:r w:rsidRPr="0045274A">
              <w:rPr>
                <w:color w:val="00B050"/>
                <w:sz w:val="20"/>
              </w:rPr>
              <w:t>251%</w:t>
            </w:r>
          </w:p>
        </w:tc>
      </w:tr>
    </w:tbl>
    <w:p w14:paraId="48517CC0" w14:textId="77777777" w:rsidR="005A6106" w:rsidRPr="005A6106" w:rsidRDefault="005A6106" w:rsidP="005A6106">
      <w:pPr>
        <w:jc w:val="both"/>
        <w:rPr>
          <w:color w:val="000000" w:themeColor="text1"/>
        </w:rPr>
      </w:pPr>
    </w:p>
    <w:p w14:paraId="3DDFEC8A" w14:textId="6B350D65" w:rsidR="002479E0" w:rsidRPr="00A70AAF" w:rsidRDefault="00BF60BD" w:rsidP="002479E0">
      <w:pPr>
        <w:jc w:val="both"/>
      </w:pPr>
      <w:r>
        <w:t>“R</w:t>
      </w:r>
      <w:r w:rsidR="002479E0" w:rsidRPr="003D7D30">
        <w:t xml:space="preserve">eal estate investment in general </w:t>
      </w:r>
      <w:r>
        <w:t xml:space="preserve">had a bit of </w:t>
      </w:r>
      <w:r w:rsidR="00644E2D">
        <w:t xml:space="preserve">a </w:t>
      </w:r>
      <w:r>
        <w:t>quieter year</w:t>
      </w:r>
      <w:r w:rsidR="002479E0" w:rsidRPr="003D7D30">
        <w:t xml:space="preserve"> after an exceptional 2017,” said Matthew Boukall, Vice President, Data Solutions at Altus Group. “We expect the downturn will be short-lived, with the rebound in homebuying intentions, the pause in interest rate increases and continued interest in commercial real estate as an investment asset class.”</w:t>
      </w:r>
    </w:p>
    <w:p w14:paraId="1C5644BA" w14:textId="77777777" w:rsidR="00EB31B1" w:rsidRDefault="00EB31B1" w:rsidP="00F63724">
      <w:pPr>
        <w:jc w:val="both"/>
        <w:rPr>
          <w:color w:val="000000"/>
        </w:rPr>
      </w:pPr>
    </w:p>
    <w:p w14:paraId="30E5351D" w14:textId="0E8FCD97" w:rsidR="001453DE" w:rsidRPr="00BC1F78" w:rsidRDefault="00272C94" w:rsidP="00F63724">
      <w:pPr>
        <w:jc w:val="both"/>
        <w:rPr>
          <w:color w:val="000000"/>
        </w:rPr>
      </w:pPr>
      <w:r w:rsidRPr="00272C94">
        <w:rPr>
          <w:color w:val="000000"/>
        </w:rPr>
        <w:t xml:space="preserve">Total investment property sales volumes in the </w:t>
      </w:r>
      <w:r w:rsidR="000B61AA">
        <w:rPr>
          <w:color w:val="000000"/>
        </w:rPr>
        <w:t>GTA</w:t>
      </w:r>
      <w:r w:rsidRPr="00272C94">
        <w:rPr>
          <w:color w:val="000000"/>
        </w:rPr>
        <w:t xml:space="preserve"> </w:t>
      </w:r>
      <w:proofErr w:type="spellStart"/>
      <w:r w:rsidRPr="00272C94">
        <w:rPr>
          <w:color w:val="000000"/>
        </w:rPr>
        <w:t>totalled</w:t>
      </w:r>
      <w:proofErr w:type="spellEnd"/>
      <w:r w:rsidRPr="00272C94">
        <w:rPr>
          <w:color w:val="000000"/>
        </w:rPr>
        <w:t xml:space="preserve"> $21.1 billion in 2018, down from the record set in 2017, but still the </w:t>
      </w:r>
      <w:r w:rsidR="00547046">
        <w:rPr>
          <w:color w:val="000000"/>
        </w:rPr>
        <w:t>second</w:t>
      </w:r>
      <w:r w:rsidRPr="00272C94">
        <w:rPr>
          <w:color w:val="000000"/>
        </w:rPr>
        <w:t xml:space="preserve"> highest annual volume yet recorded </w:t>
      </w:r>
      <w:r w:rsidR="00A70AAF">
        <w:rPr>
          <w:color w:val="000000"/>
        </w:rPr>
        <w:t>since Altus Group started tracking the market in 2000</w:t>
      </w:r>
      <w:r w:rsidRPr="00272C94">
        <w:rPr>
          <w:color w:val="000000"/>
        </w:rPr>
        <w:t>.</w:t>
      </w:r>
      <w:r w:rsidR="00EB31B1">
        <w:rPr>
          <w:color w:val="000000"/>
        </w:rPr>
        <w:t xml:space="preserve"> </w:t>
      </w:r>
      <w:r w:rsidR="00A41D1B">
        <w:rPr>
          <w:color w:val="000000"/>
        </w:rPr>
        <w:t xml:space="preserve">The decline </w:t>
      </w:r>
      <w:r w:rsidR="00F01684">
        <w:rPr>
          <w:color w:val="000000"/>
        </w:rPr>
        <w:t xml:space="preserve">largely </w:t>
      </w:r>
      <w:r w:rsidR="00A41D1B">
        <w:rPr>
          <w:color w:val="000000"/>
        </w:rPr>
        <w:t>can be attributed to the 3</w:t>
      </w:r>
      <w:r w:rsidR="00644E2D">
        <w:rPr>
          <w:color w:val="000000"/>
        </w:rPr>
        <w:t>1</w:t>
      </w:r>
      <w:r w:rsidR="00A41D1B">
        <w:rPr>
          <w:color w:val="000000"/>
        </w:rPr>
        <w:t>% decline in residential land activity.</w:t>
      </w:r>
    </w:p>
    <w:p w14:paraId="64335686" w14:textId="77777777" w:rsidR="009A5984" w:rsidRPr="00BC1F78" w:rsidRDefault="009A5984" w:rsidP="00F63724">
      <w:pPr>
        <w:jc w:val="both"/>
        <w:rPr>
          <w:color w:val="000000"/>
        </w:rPr>
      </w:pPr>
    </w:p>
    <w:p w14:paraId="6DE49A13" w14:textId="20C9E6C1" w:rsidR="000C3280" w:rsidRDefault="004E6C06" w:rsidP="000C3280">
      <w:pPr>
        <w:jc w:val="both"/>
        <w:rPr>
          <w:color w:val="000000"/>
        </w:rPr>
      </w:pPr>
      <w:r>
        <w:rPr>
          <w:color w:val="000000"/>
        </w:rPr>
        <w:t>Within the investment property trans</w:t>
      </w:r>
      <w:r w:rsidR="0045129C">
        <w:rPr>
          <w:color w:val="000000"/>
        </w:rPr>
        <w:t>ac</w:t>
      </w:r>
      <w:r>
        <w:rPr>
          <w:color w:val="000000"/>
        </w:rPr>
        <w:t>tions, t</w:t>
      </w:r>
      <w:r w:rsidR="00CC49D8">
        <w:rPr>
          <w:color w:val="000000"/>
        </w:rPr>
        <w:t>he</w:t>
      </w:r>
      <w:r w:rsidR="000C3280">
        <w:rPr>
          <w:color w:val="000000"/>
        </w:rPr>
        <w:t xml:space="preserve"> </w:t>
      </w:r>
      <w:r w:rsidR="00D3357B">
        <w:rPr>
          <w:color w:val="000000"/>
        </w:rPr>
        <w:t xml:space="preserve">rental </w:t>
      </w:r>
      <w:r w:rsidR="000C3280">
        <w:rPr>
          <w:color w:val="000000"/>
        </w:rPr>
        <w:t>apartment sector</w:t>
      </w:r>
      <w:r w:rsidR="00272C94">
        <w:rPr>
          <w:color w:val="000000"/>
        </w:rPr>
        <w:t xml:space="preserve"> was </w:t>
      </w:r>
      <w:r w:rsidR="00CC49D8">
        <w:rPr>
          <w:color w:val="000000"/>
        </w:rPr>
        <w:t>the star perfo</w:t>
      </w:r>
      <w:r w:rsidR="00B219FC">
        <w:rPr>
          <w:color w:val="000000"/>
        </w:rPr>
        <w:t>r</w:t>
      </w:r>
      <w:r w:rsidR="00CC49D8">
        <w:rPr>
          <w:color w:val="000000"/>
        </w:rPr>
        <w:t>mer in 2018,</w:t>
      </w:r>
      <w:r w:rsidR="000C3280">
        <w:rPr>
          <w:color w:val="000000"/>
        </w:rPr>
        <w:t xml:space="preserve"> posting both the largest dollar and largest percent increases</w:t>
      </w:r>
      <w:r w:rsidR="00CC49D8">
        <w:rPr>
          <w:color w:val="000000"/>
        </w:rPr>
        <w:t xml:space="preserve"> </w:t>
      </w:r>
      <w:r w:rsidR="000C3280">
        <w:rPr>
          <w:color w:val="000000"/>
        </w:rPr>
        <w:t>with $2.7 billion in sales</w:t>
      </w:r>
      <w:r w:rsidR="00D3357B" w:rsidRPr="00D3357B">
        <w:rPr>
          <w:color w:val="000000"/>
        </w:rPr>
        <w:t xml:space="preserve"> </w:t>
      </w:r>
      <w:r w:rsidR="00D3357B">
        <w:rPr>
          <w:color w:val="000000"/>
        </w:rPr>
        <w:t>while the office sector set another new record, at just under $4 billion</w:t>
      </w:r>
      <w:r w:rsidR="000B61AA">
        <w:rPr>
          <w:color w:val="000000"/>
        </w:rPr>
        <w:t xml:space="preserve"> in sales</w:t>
      </w:r>
      <w:r w:rsidR="00D3357B">
        <w:rPr>
          <w:color w:val="000000"/>
        </w:rPr>
        <w:t>.</w:t>
      </w:r>
      <w:r w:rsidR="000B61AA">
        <w:rPr>
          <w:color w:val="000000"/>
        </w:rPr>
        <w:t xml:space="preserve"> </w:t>
      </w:r>
      <w:r w:rsidR="000C3280">
        <w:rPr>
          <w:color w:val="000000"/>
        </w:rPr>
        <w:t>After three years of decline, inst</w:t>
      </w:r>
      <w:r w:rsidR="00CC49D8">
        <w:rPr>
          <w:color w:val="000000"/>
        </w:rPr>
        <w:t>it</w:t>
      </w:r>
      <w:r w:rsidR="000C3280">
        <w:rPr>
          <w:color w:val="000000"/>
        </w:rPr>
        <w:t>utional inv</w:t>
      </w:r>
      <w:r w:rsidR="00547046">
        <w:rPr>
          <w:color w:val="000000"/>
        </w:rPr>
        <w:t>e</w:t>
      </w:r>
      <w:r w:rsidR="000C3280">
        <w:rPr>
          <w:color w:val="000000"/>
        </w:rPr>
        <w:t>stors stepped up their activity again in 2018</w:t>
      </w:r>
      <w:r w:rsidR="002012C6">
        <w:rPr>
          <w:color w:val="000000"/>
        </w:rPr>
        <w:t>. A</w:t>
      </w:r>
      <w:r w:rsidR="00D3357B">
        <w:rPr>
          <w:color w:val="000000"/>
        </w:rPr>
        <w:t xml:space="preserve">t the same time </w:t>
      </w:r>
      <w:r w:rsidR="00CC49D8">
        <w:rPr>
          <w:color w:val="000000"/>
        </w:rPr>
        <w:t>foreign investment reach</w:t>
      </w:r>
      <w:r w:rsidR="00D3357B">
        <w:rPr>
          <w:color w:val="000000"/>
        </w:rPr>
        <w:t>ed</w:t>
      </w:r>
      <w:r w:rsidR="00CC49D8">
        <w:rPr>
          <w:color w:val="000000"/>
        </w:rPr>
        <w:t xml:space="preserve"> </w:t>
      </w:r>
      <w:r w:rsidR="003D7D30">
        <w:rPr>
          <w:color w:val="000000"/>
        </w:rPr>
        <w:t>a multi-year</w:t>
      </w:r>
      <w:r w:rsidR="00CC49D8">
        <w:rPr>
          <w:color w:val="000000"/>
        </w:rPr>
        <w:t xml:space="preserve"> </w:t>
      </w:r>
      <w:r w:rsidR="003D7D30">
        <w:rPr>
          <w:color w:val="000000"/>
        </w:rPr>
        <w:t xml:space="preserve">high. </w:t>
      </w:r>
      <w:r w:rsidR="00272C94">
        <w:rPr>
          <w:color w:val="000000"/>
        </w:rPr>
        <w:t xml:space="preserve"> </w:t>
      </w:r>
    </w:p>
    <w:p w14:paraId="3C09F5A5" w14:textId="77777777" w:rsidR="000C3280" w:rsidRDefault="000C3280" w:rsidP="000C3280">
      <w:pPr>
        <w:jc w:val="both"/>
        <w:rPr>
          <w:color w:val="000000"/>
        </w:rPr>
      </w:pPr>
    </w:p>
    <w:p w14:paraId="532DA5E6" w14:textId="1385D2C7" w:rsidR="003856C3" w:rsidRDefault="004417C9" w:rsidP="004417C9">
      <w:pPr>
        <w:jc w:val="both"/>
        <w:rPr>
          <w:color w:val="000000"/>
        </w:rPr>
      </w:pPr>
      <w:r>
        <w:rPr>
          <w:color w:val="000000"/>
        </w:rPr>
        <w:t xml:space="preserve">In the </w:t>
      </w:r>
      <w:r w:rsidR="00F01684">
        <w:rPr>
          <w:color w:val="000000"/>
        </w:rPr>
        <w:t>office market</w:t>
      </w:r>
      <w:r>
        <w:rPr>
          <w:color w:val="000000"/>
        </w:rPr>
        <w:t>,</w:t>
      </w:r>
      <w:r w:rsidR="003856C3">
        <w:rPr>
          <w:color w:val="000000"/>
        </w:rPr>
        <w:t xml:space="preserve"> </w:t>
      </w:r>
      <w:r w:rsidR="004E6C06">
        <w:rPr>
          <w:color w:val="000000"/>
        </w:rPr>
        <w:t xml:space="preserve">the </w:t>
      </w:r>
      <w:r w:rsidR="003856C3">
        <w:rPr>
          <w:color w:val="000000"/>
        </w:rPr>
        <w:t xml:space="preserve">completion of new office space dropped to the lowest level in 15 years with only 650,000 sq. ft. of new offices added to the GTA in 2018. Stronger office space absorption in the </w:t>
      </w:r>
      <w:r w:rsidR="000B61AA">
        <w:rPr>
          <w:color w:val="000000"/>
        </w:rPr>
        <w:t>d</w:t>
      </w:r>
      <w:r w:rsidR="003856C3">
        <w:rPr>
          <w:color w:val="000000"/>
        </w:rPr>
        <w:t xml:space="preserve">owntown submarket, combined with virtually no new supply delivered last year, pulled the vacancy rate in the </w:t>
      </w:r>
      <w:r w:rsidR="000B61AA">
        <w:rPr>
          <w:color w:val="000000"/>
        </w:rPr>
        <w:t>d</w:t>
      </w:r>
      <w:r w:rsidR="003856C3">
        <w:rPr>
          <w:color w:val="000000"/>
        </w:rPr>
        <w:t xml:space="preserve">owntown </w:t>
      </w:r>
      <w:r w:rsidR="00A70AAF">
        <w:rPr>
          <w:color w:val="000000"/>
        </w:rPr>
        <w:t xml:space="preserve">to </w:t>
      </w:r>
      <w:r w:rsidR="009E409F" w:rsidRPr="009E409F">
        <w:rPr>
          <w:color w:val="000000"/>
        </w:rPr>
        <w:t>3.1</w:t>
      </w:r>
      <w:r w:rsidR="00A70AAF" w:rsidRPr="009E409F">
        <w:rPr>
          <w:color w:val="000000"/>
        </w:rPr>
        <w:t>%</w:t>
      </w:r>
      <w:r w:rsidR="002479E0" w:rsidRPr="009E409F">
        <w:rPr>
          <w:color w:val="000000"/>
        </w:rPr>
        <w:t>,</w:t>
      </w:r>
      <w:r w:rsidR="003856C3">
        <w:rPr>
          <w:color w:val="000000"/>
        </w:rPr>
        <w:t xml:space="preserve"> the lowest level recorded in Altus Group’s tracking history.</w:t>
      </w:r>
      <w:r w:rsidR="00A41D1B">
        <w:rPr>
          <w:color w:val="000000"/>
        </w:rPr>
        <w:t xml:space="preserve"> Much needed new office supply is on its way with close to 11.9 million s</w:t>
      </w:r>
      <w:r w:rsidR="003D7D30">
        <w:rPr>
          <w:color w:val="000000"/>
        </w:rPr>
        <w:t>q. ft.</w:t>
      </w:r>
      <w:r w:rsidR="00A41D1B">
        <w:rPr>
          <w:color w:val="000000"/>
        </w:rPr>
        <w:t xml:space="preserve"> under construction</w:t>
      </w:r>
      <w:r w:rsidR="00ED0019">
        <w:rPr>
          <w:color w:val="000000"/>
        </w:rPr>
        <w:t>,</w:t>
      </w:r>
      <w:r w:rsidR="00A41D1B">
        <w:rPr>
          <w:color w:val="000000"/>
        </w:rPr>
        <w:t xml:space="preserve"> </w:t>
      </w:r>
      <w:r w:rsidR="00ED0019">
        <w:rPr>
          <w:color w:val="000000"/>
        </w:rPr>
        <w:t>of which</w:t>
      </w:r>
      <w:r w:rsidR="00A41D1B">
        <w:rPr>
          <w:color w:val="000000"/>
        </w:rPr>
        <w:t xml:space="preserve"> 9.9 million s</w:t>
      </w:r>
      <w:r w:rsidR="003D7D30">
        <w:rPr>
          <w:color w:val="000000"/>
        </w:rPr>
        <w:t xml:space="preserve">q. </w:t>
      </w:r>
      <w:r w:rsidR="00A41D1B">
        <w:rPr>
          <w:color w:val="000000"/>
        </w:rPr>
        <w:t>f</w:t>
      </w:r>
      <w:r w:rsidR="003D7D30">
        <w:rPr>
          <w:color w:val="000000"/>
        </w:rPr>
        <w:t>t.</w:t>
      </w:r>
      <w:r w:rsidR="00A41D1B">
        <w:rPr>
          <w:color w:val="000000"/>
        </w:rPr>
        <w:t xml:space="preserve"> </w:t>
      </w:r>
      <w:r w:rsidR="00433754">
        <w:rPr>
          <w:color w:val="000000"/>
        </w:rPr>
        <w:t xml:space="preserve">is </w:t>
      </w:r>
      <w:r w:rsidR="00A41D1B">
        <w:rPr>
          <w:color w:val="000000"/>
        </w:rPr>
        <w:t>underway in the downtown alone.</w:t>
      </w:r>
      <w:r w:rsidR="003856C3">
        <w:rPr>
          <w:color w:val="000000"/>
        </w:rPr>
        <w:t xml:space="preserve"> </w:t>
      </w:r>
    </w:p>
    <w:p w14:paraId="19425128" w14:textId="77777777" w:rsidR="004417C9" w:rsidRDefault="004417C9" w:rsidP="004417C9">
      <w:pPr>
        <w:jc w:val="both"/>
        <w:rPr>
          <w:color w:val="000000"/>
        </w:rPr>
      </w:pPr>
    </w:p>
    <w:p w14:paraId="1099F26F" w14:textId="0D775406" w:rsidR="00156238" w:rsidRDefault="004417C9" w:rsidP="00F63724">
      <w:pPr>
        <w:jc w:val="both"/>
        <w:rPr>
          <w:color w:val="000000"/>
        </w:rPr>
      </w:pPr>
      <w:r>
        <w:rPr>
          <w:color w:val="000000"/>
        </w:rPr>
        <w:t xml:space="preserve">Turning to the new home sector, total </w:t>
      </w:r>
      <w:r w:rsidRPr="00C4387F">
        <w:rPr>
          <w:color w:val="000000"/>
        </w:rPr>
        <w:t>new home sales in</w:t>
      </w:r>
      <w:r>
        <w:rPr>
          <w:color w:val="000000"/>
        </w:rPr>
        <w:t xml:space="preserve"> the </w:t>
      </w:r>
      <w:r w:rsidRPr="00C4387F">
        <w:rPr>
          <w:color w:val="000000"/>
        </w:rPr>
        <w:t xml:space="preserve">GTA </w:t>
      </w:r>
      <w:r w:rsidR="00BD5C75">
        <w:rPr>
          <w:color w:val="000000"/>
        </w:rPr>
        <w:t xml:space="preserve">dropped </w:t>
      </w:r>
      <w:r w:rsidR="004E6C06">
        <w:rPr>
          <w:color w:val="000000"/>
        </w:rPr>
        <w:t xml:space="preserve">40% to </w:t>
      </w:r>
      <w:r w:rsidR="00644E2D">
        <w:rPr>
          <w:color w:val="000000"/>
        </w:rPr>
        <w:t xml:space="preserve">just over </w:t>
      </w:r>
      <w:r w:rsidR="004E6C06">
        <w:rPr>
          <w:color w:val="000000"/>
        </w:rPr>
        <w:t>25,000 units, which is</w:t>
      </w:r>
      <w:r w:rsidR="003D7D30">
        <w:rPr>
          <w:color w:val="000000"/>
        </w:rPr>
        <w:t xml:space="preserve"> the</w:t>
      </w:r>
      <w:r w:rsidR="004E6C06">
        <w:rPr>
          <w:color w:val="000000"/>
        </w:rPr>
        <w:t xml:space="preserve"> </w:t>
      </w:r>
      <w:r w:rsidR="00BD5C75">
        <w:rPr>
          <w:color w:val="000000"/>
        </w:rPr>
        <w:t xml:space="preserve">lowest level since </w:t>
      </w:r>
      <w:r w:rsidR="00D3357B">
        <w:rPr>
          <w:color w:val="000000"/>
        </w:rPr>
        <w:t>Altus Group started tracking.</w:t>
      </w:r>
      <w:r w:rsidR="00240310">
        <w:rPr>
          <w:color w:val="000000"/>
        </w:rPr>
        <w:t xml:space="preserve"> </w:t>
      </w:r>
      <w:r w:rsidR="004E6C06">
        <w:rPr>
          <w:color w:val="000000"/>
        </w:rPr>
        <w:t xml:space="preserve">New condominium apartment sales fell back to levels comparable to 2014 and 2015, and while down from the record level set in 2017, are near the ten-year average for the market. The reduction in sales activity is partially attributable to the more stringent mortgage stress testing that delayed purchases, and a limited availability of single-family product that was affordable to a broader range of </w:t>
      </w:r>
      <w:r w:rsidR="004E6C06">
        <w:rPr>
          <w:color w:val="000000"/>
        </w:rPr>
        <w:lastRenderedPageBreak/>
        <w:t>incomes</w:t>
      </w:r>
      <w:r w:rsidR="004E6C06" w:rsidRPr="00960709">
        <w:rPr>
          <w:noProof/>
          <w:color w:val="000000"/>
        </w:rPr>
        <w:t>.</w:t>
      </w:r>
      <w:r w:rsidR="004E6C06" w:rsidRPr="004E6C06">
        <w:rPr>
          <w:color w:val="000000"/>
        </w:rPr>
        <w:t xml:space="preserve"> </w:t>
      </w:r>
      <w:r w:rsidR="004E6C06">
        <w:rPr>
          <w:color w:val="000000"/>
        </w:rPr>
        <w:t xml:space="preserve">With available inventory low in relation to the pace of sales, </w:t>
      </w:r>
      <w:r w:rsidR="004E6C06" w:rsidRPr="006D5AB6">
        <w:rPr>
          <w:noProof/>
          <w:color w:val="000000"/>
        </w:rPr>
        <w:t>the average</w:t>
      </w:r>
      <w:r w:rsidR="004E6C06">
        <w:rPr>
          <w:color w:val="000000"/>
        </w:rPr>
        <w:t xml:space="preserve"> asking price for a </w:t>
      </w:r>
      <w:r w:rsidR="004E6C06" w:rsidRPr="006D5AB6">
        <w:rPr>
          <w:noProof/>
          <w:color w:val="000000"/>
        </w:rPr>
        <w:t>new</w:t>
      </w:r>
      <w:r w:rsidR="004E6C06">
        <w:rPr>
          <w:color w:val="000000"/>
        </w:rPr>
        <w:t xml:space="preserve"> condominium apartment in the GTA rose by 57% in the past two years with the benchmark price reaching an all-time high at just under $800,000 by the end of 2018.</w:t>
      </w:r>
    </w:p>
    <w:p w14:paraId="16C80C63" w14:textId="77777777" w:rsidR="00A70AAF" w:rsidRDefault="00A70AAF" w:rsidP="00F63724">
      <w:pPr>
        <w:jc w:val="both"/>
        <w:rPr>
          <w:color w:val="000000"/>
        </w:rPr>
      </w:pPr>
    </w:p>
    <w:p w14:paraId="66565EF5" w14:textId="06371388" w:rsidR="00023DE1" w:rsidRDefault="00D3357B" w:rsidP="00A70AAF">
      <w:pPr>
        <w:jc w:val="both"/>
        <w:rPr>
          <w:color w:val="000000"/>
        </w:rPr>
      </w:pPr>
      <w:r>
        <w:rPr>
          <w:color w:val="000000"/>
        </w:rPr>
        <w:t xml:space="preserve">The good news is that </w:t>
      </w:r>
      <w:r w:rsidR="00156238">
        <w:rPr>
          <w:color w:val="000000"/>
        </w:rPr>
        <w:t>m</w:t>
      </w:r>
      <w:r w:rsidR="00935018">
        <w:rPr>
          <w:color w:val="000000"/>
        </w:rPr>
        <w:t>ore GTA households are planning to buy homes in the upcoming year. Homebuying intentions among renters – the primary pool for potential first-time buyers</w:t>
      </w:r>
      <w:r w:rsidR="00156238">
        <w:rPr>
          <w:color w:val="000000"/>
        </w:rPr>
        <w:t xml:space="preserve"> </w:t>
      </w:r>
      <w:r w:rsidR="000B61AA">
        <w:rPr>
          <w:color w:val="000000"/>
        </w:rPr>
        <w:t xml:space="preserve">– </w:t>
      </w:r>
      <w:r w:rsidR="00935018">
        <w:rPr>
          <w:color w:val="000000"/>
        </w:rPr>
        <w:t xml:space="preserve">plunged in 2017 due to affordability and mortgage </w:t>
      </w:r>
      <w:r w:rsidR="00CD274B">
        <w:rPr>
          <w:color w:val="000000"/>
        </w:rPr>
        <w:t xml:space="preserve">financing </w:t>
      </w:r>
      <w:r w:rsidR="00935018">
        <w:rPr>
          <w:color w:val="000000"/>
        </w:rPr>
        <w:t>challenges but rebounded in late 2018.</w:t>
      </w:r>
    </w:p>
    <w:p w14:paraId="609CEEAB" w14:textId="0A35CA04" w:rsidR="00A70AAF" w:rsidRPr="00A70AAF" w:rsidRDefault="00A70AAF" w:rsidP="00A70AAF">
      <w:pPr>
        <w:jc w:val="both"/>
        <w:rPr>
          <w:color w:val="000000"/>
          <w:highlight w:val="yellow"/>
        </w:rPr>
      </w:pPr>
    </w:p>
    <w:p w14:paraId="5C7E5528" w14:textId="23CC0E89" w:rsidR="00BC0D12" w:rsidRPr="00BC0D12" w:rsidRDefault="00BC0D12" w:rsidP="00BC0D12">
      <w:pPr>
        <w:spacing w:after="300"/>
        <w:rPr>
          <w:rFonts w:ascii="Times New Roman" w:eastAsia="Times New Roman" w:hAnsi="Times New Roman"/>
          <w:sz w:val="24"/>
          <w:lang w:eastAsia="en-US"/>
        </w:rPr>
      </w:pPr>
      <w:r>
        <w:t>Below are key predictions</w:t>
      </w:r>
      <w:r w:rsidR="00D713D1">
        <w:t xml:space="preserve"> for 2019</w:t>
      </w:r>
      <w:r>
        <w:t>:</w:t>
      </w:r>
    </w:p>
    <w:p w14:paraId="7595B89E" w14:textId="350D0AD6" w:rsidR="00BC0D12" w:rsidRPr="003D7D30" w:rsidRDefault="004216F3" w:rsidP="00BC0D12">
      <w:pPr>
        <w:numPr>
          <w:ilvl w:val="0"/>
          <w:numId w:val="17"/>
        </w:numPr>
        <w:spacing w:before="100" w:beforeAutospacing="1" w:after="100" w:afterAutospacing="1"/>
        <w:ind w:left="300"/>
        <w:rPr>
          <w:rFonts w:eastAsia="Times New Roman"/>
          <w:szCs w:val="20"/>
          <w:lang w:eastAsia="en-US"/>
        </w:rPr>
      </w:pPr>
      <w:r>
        <w:rPr>
          <w:rFonts w:eastAsia="Times New Roman"/>
          <w:szCs w:val="20"/>
          <w:lang w:eastAsia="en-US"/>
        </w:rPr>
        <w:t>Office, Industrial and Retail</w:t>
      </w:r>
      <w:r w:rsidR="00BC0D12" w:rsidRPr="003D7D30">
        <w:rPr>
          <w:rFonts w:eastAsia="Times New Roman"/>
          <w:szCs w:val="20"/>
          <w:lang w:eastAsia="en-US"/>
        </w:rPr>
        <w:t xml:space="preserve">: </w:t>
      </w:r>
    </w:p>
    <w:p w14:paraId="0BD8847B" w14:textId="5512ED86" w:rsidR="00BC0D12" w:rsidRPr="003D7D30" w:rsidRDefault="006B5529" w:rsidP="00BC0D12">
      <w:pPr>
        <w:numPr>
          <w:ilvl w:val="1"/>
          <w:numId w:val="17"/>
        </w:numPr>
        <w:spacing w:before="100" w:beforeAutospacing="1" w:after="90"/>
        <w:ind w:left="750"/>
        <w:rPr>
          <w:rFonts w:eastAsia="Times New Roman"/>
          <w:szCs w:val="20"/>
          <w:lang w:eastAsia="en-US"/>
        </w:rPr>
      </w:pPr>
      <w:r w:rsidRPr="003D7D30">
        <w:rPr>
          <w:rFonts w:eastAsia="Times New Roman"/>
          <w:szCs w:val="20"/>
          <w:lang w:eastAsia="en-US"/>
        </w:rPr>
        <w:t xml:space="preserve">Office: while office space demand is expected to stay strong in the </w:t>
      </w:r>
      <w:r w:rsidR="00D713D1" w:rsidRPr="003D7D30">
        <w:rPr>
          <w:rFonts w:eastAsia="Times New Roman"/>
          <w:szCs w:val="20"/>
          <w:lang w:eastAsia="en-US"/>
        </w:rPr>
        <w:t>d</w:t>
      </w:r>
      <w:r w:rsidR="00A70AAF">
        <w:rPr>
          <w:rFonts w:eastAsia="Times New Roman"/>
          <w:szCs w:val="20"/>
          <w:lang w:eastAsia="en-US"/>
        </w:rPr>
        <w:t>owntown market, the 9.9</w:t>
      </w:r>
      <w:r w:rsidRPr="003D7D30">
        <w:rPr>
          <w:rFonts w:eastAsia="Times New Roman"/>
          <w:szCs w:val="20"/>
          <w:lang w:eastAsia="en-US"/>
        </w:rPr>
        <w:t xml:space="preserve"> million sq. ft. of space currently under construction will lead to gradually easing vacancy rates over the next few year</w:t>
      </w:r>
      <w:r w:rsidR="00CD274B" w:rsidRPr="003D7D30">
        <w:rPr>
          <w:rFonts w:eastAsia="Times New Roman"/>
          <w:szCs w:val="20"/>
          <w:lang w:eastAsia="en-US"/>
        </w:rPr>
        <w:t>s</w:t>
      </w:r>
      <w:r w:rsidRPr="003D7D30">
        <w:rPr>
          <w:rFonts w:eastAsia="Times New Roman"/>
          <w:szCs w:val="20"/>
          <w:lang w:eastAsia="en-US"/>
        </w:rPr>
        <w:t>.</w:t>
      </w:r>
      <w:r w:rsidR="008A3162" w:rsidRPr="003D7D30">
        <w:rPr>
          <w:rFonts w:eastAsia="Times New Roman"/>
          <w:szCs w:val="20"/>
          <w:lang w:eastAsia="en-US"/>
        </w:rPr>
        <w:t xml:space="preserve"> </w:t>
      </w:r>
      <w:r w:rsidR="003D7D30" w:rsidRPr="003D7D30">
        <w:rPr>
          <w:rFonts w:eastAsia="Times New Roman"/>
          <w:szCs w:val="20"/>
          <w:lang w:eastAsia="en-US"/>
        </w:rPr>
        <w:t>The market is experiencing</w:t>
      </w:r>
      <w:r w:rsidR="008A3162" w:rsidRPr="003D7D30">
        <w:rPr>
          <w:rFonts w:eastAsia="Times New Roman"/>
          <w:szCs w:val="20"/>
          <w:lang w:eastAsia="en-US"/>
        </w:rPr>
        <w:t xml:space="preserve"> increased interest from tenants considering suburban locations based on the competitive rents and more alternatives to choose from.</w:t>
      </w:r>
    </w:p>
    <w:p w14:paraId="0168596B" w14:textId="3D6793D4" w:rsidR="006B5529" w:rsidRPr="003D7D30" w:rsidRDefault="006B5529" w:rsidP="006B5529">
      <w:pPr>
        <w:numPr>
          <w:ilvl w:val="1"/>
          <w:numId w:val="17"/>
        </w:numPr>
        <w:spacing w:before="100" w:beforeAutospacing="1" w:after="90"/>
        <w:ind w:left="750"/>
        <w:rPr>
          <w:rFonts w:eastAsia="Times New Roman"/>
          <w:szCs w:val="20"/>
          <w:lang w:eastAsia="en-US"/>
        </w:rPr>
      </w:pPr>
      <w:r w:rsidRPr="003D7D30">
        <w:rPr>
          <w:rFonts w:eastAsia="Times New Roman"/>
          <w:szCs w:val="20"/>
          <w:lang w:eastAsia="en-US"/>
        </w:rPr>
        <w:t>Industrial: demand for industrial space will remain strong as online and traditional retailers seek warehouse space to support their e-commerce business strategies.</w:t>
      </w:r>
      <w:r w:rsidR="008A3162" w:rsidRPr="003D7D30">
        <w:rPr>
          <w:rFonts w:eastAsia="Times New Roman"/>
          <w:szCs w:val="20"/>
          <w:lang w:eastAsia="en-US"/>
        </w:rPr>
        <w:t xml:space="preserve"> Rents will continue to show significant increase</w:t>
      </w:r>
      <w:r w:rsidR="004377AF">
        <w:rPr>
          <w:rFonts w:eastAsia="Times New Roman"/>
          <w:szCs w:val="20"/>
          <w:lang w:eastAsia="en-US"/>
        </w:rPr>
        <w:t>s</w:t>
      </w:r>
      <w:r w:rsidR="008A3162" w:rsidRPr="003D7D30">
        <w:rPr>
          <w:rFonts w:eastAsia="Times New Roman"/>
          <w:szCs w:val="20"/>
          <w:lang w:eastAsia="en-US"/>
        </w:rPr>
        <w:t xml:space="preserve"> due to shortage</w:t>
      </w:r>
      <w:r w:rsidR="004377AF">
        <w:rPr>
          <w:rFonts w:eastAsia="Times New Roman"/>
          <w:szCs w:val="20"/>
          <w:lang w:eastAsia="en-US"/>
        </w:rPr>
        <w:t>s</w:t>
      </w:r>
      <w:r w:rsidR="008A3162" w:rsidRPr="003D7D30">
        <w:rPr>
          <w:rFonts w:eastAsia="Times New Roman"/>
          <w:szCs w:val="20"/>
          <w:lang w:eastAsia="en-US"/>
        </w:rPr>
        <w:t xml:space="preserve"> in newer facilities.</w:t>
      </w:r>
      <w:r w:rsidRPr="003D7D30">
        <w:rPr>
          <w:rFonts w:eastAsia="Times New Roman"/>
          <w:szCs w:val="20"/>
          <w:lang w:eastAsia="en-US"/>
        </w:rPr>
        <w:t xml:space="preserve"> </w:t>
      </w:r>
    </w:p>
    <w:p w14:paraId="4590C3EF" w14:textId="62295EFC" w:rsidR="006B5529" w:rsidRPr="004377AF" w:rsidRDefault="006B5529" w:rsidP="006B5529">
      <w:pPr>
        <w:numPr>
          <w:ilvl w:val="1"/>
          <w:numId w:val="17"/>
        </w:numPr>
        <w:spacing w:before="100" w:beforeAutospacing="1" w:after="90"/>
        <w:ind w:left="750"/>
        <w:rPr>
          <w:rFonts w:eastAsia="Times New Roman"/>
          <w:szCs w:val="20"/>
          <w:lang w:eastAsia="en-US"/>
        </w:rPr>
      </w:pPr>
      <w:r w:rsidRPr="004377AF">
        <w:rPr>
          <w:rFonts w:eastAsia="Times New Roman"/>
          <w:szCs w:val="20"/>
          <w:lang w:eastAsia="en-US"/>
        </w:rPr>
        <w:t xml:space="preserve">Retail: </w:t>
      </w:r>
      <w:r w:rsidR="004377AF" w:rsidRPr="004377AF">
        <w:rPr>
          <w:rFonts w:eastAsia="Times New Roman"/>
          <w:szCs w:val="20"/>
          <w:lang w:eastAsia="en-US"/>
        </w:rPr>
        <w:t>while e-commerce has continued to disrupt the retail markets, demand for retail assets remained strong. W</w:t>
      </w:r>
      <w:r w:rsidR="008A3162" w:rsidRPr="004377AF">
        <w:rPr>
          <w:rFonts w:eastAsia="Times New Roman"/>
          <w:szCs w:val="20"/>
          <w:lang w:eastAsia="en-US"/>
        </w:rPr>
        <w:t>atch for increased mixed</w:t>
      </w:r>
      <w:r w:rsidR="004377AF" w:rsidRPr="004377AF">
        <w:rPr>
          <w:rFonts w:eastAsia="Times New Roman"/>
          <w:szCs w:val="20"/>
          <w:lang w:eastAsia="en-US"/>
        </w:rPr>
        <w:t>-</w:t>
      </w:r>
      <w:r w:rsidR="008A3162" w:rsidRPr="004377AF">
        <w:rPr>
          <w:rFonts w:eastAsia="Times New Roman"/>
          <w:szCs w:val="20"/>
          <w:lang w:eastAsia="en-US"/>
        </w:rPr>
        <w:t>use</w:t>
      </w:r>
      <w:r w:rsidR="004377AF" w:rsidRPr="004377AF">
        <w:rPr>
          <w:rFonts w:eastAsia="Times New Roman"/>
          <w:szCs w:val="20"/>
          <w:lang w:eastAsia="en-US"/>
        </w:rPr>
        <w:t xml:space="preserve"> development and new retail concepts</w:t>
      </w:r>
      <w:r w:rsidR="008A3162" w:rsidRPr="004377AF">
        <w:rPr>
          <w:rFonts w:eastAsia="Times New Roman"/>
          <w:szCs w:val="20"/>
          <w:lang w:eastAsia="en-US"/>
        </w:rPr>
        <w:t xml:space="preserve"> especially </w:t>
      </w:r>
      <w:r w:rsidR="003A7D30">
        <w:rPr>
          <w:rFonts w:eastAsia="Times New Roman"/>
          <w:szCs w:val="20"/>
          <w:lang w:eastAsia="en-US"/>
        </w:rPr>
        <w:t>as</w:t>
      </w:r>
      <w:r w:rsidR="008A3162" w:rsidRPr="004377AF">
        <w:rPr>
          <w:rFonts w:eastAsia="Times New Roman"/>
          <w:szCs w:val="20"/>
          <w:lang w:eastAsia="en-US"/>
        </w:rPr>
        <w:t xml:space="preserve"> retailers expand choices for </w:t>
      </w:r>
      <w:r w:rsidR="004377AF" w:rsidRPr="004377AF">
        <w:rPr>
          <w:rFonts w:eastAsia="Times New Roman"/>
          <w:szCs w:val="20"/>
          <w:lang w:eastAsia="en-US"/>
        </w:rPr>
        <w:t xml:space="preserve">how </w:t>
      </w:r>
      <w:r w:rsidR="008A3162" w:rsidRPr="004377AF">
        <w:rPr>
          <w:rFonts w:eastAsia="Times New Roman"/>
          <w:szCs w:val="20"/>
          <w:lang w:eastAsia="en-US"/>
        </w:rPr>
        <w:t>consumers shop</w:t>
      </w:r>
      <w:r w:rsidR="004377AF" w:rsidRPr="004377AF">
        <w:rPr>
          <w:rFonts w:eastAsia="Times New Roman"/>
          <w:szCs w:val="20"/>
          <w:lang w:eastAsia="en-US"/>
        </w:rPr>
        <w:t>.</w:t>
      </w:r>
      <w:r w:rsidR="008A3162" w:rsidRPr="004377AF">
        <w:rPr>
          <w:rFonts w:eastAsia="Times New Roman"/>
          <w:szCs w:val="20"/>
          <w:lang w:eastAsia="en-US"/>
        </w:rPr>
        <w:t xml:space="preserve"> </w:t>
      </w:r>
    </w:p>
    <w:p w14:paraId="0C5F188F" w14:textId="77777777" w:rsidR="00BC0D12" w:rsidRPr="003D7D30" w:rsidRDefault="00BC0D12" w:rsidP="00BC0D12">
      <w:pPr>
        <w:numPr>
          <w:ilvl w:val="0"/>
          <w:numId w:val="17"/>
        </w:numPr>
        <w:spacing w:before="100" w:beforeAutospacing="1" w:after="100" w:afterAutospacing="1"/>
        <w:ind w:left="300"/>
        <w:rPr>
          <w:rFonts w:eastAsia="Times New Roman"/>
          <w:szCs w:val="20"/>
          <w:lang w:eastAsia="en-US"/>
        </w:rPr>
      </w:pPr>
      <w:r w:rsidRPr="003D7D30">
        <w:rPr>
          <w:rFonts w:eastAsia="Times New Roman"/>
          <w:szCs w:val="20"/>
          <w:lang w:eastAsia="en-US"/>
        </w:rPr>
        <w:t xml:space="preserve">Land Sales: </w:t>
      </w:r>
    </w:p>
    <w:p w14:paraId="373DF06E" w14:textId="4C5F2AF9" w:rsidR="00BC0D12" w:rsidRPr="003D7D30" w:rsidRDefault="00D068D6" w:rsidP="00BC0D12">
      <w:pPr>
        <w:numPr>
          <w:ilvl w:val="1"/>
          <w:numId w:val="17"/>
        </w:numPr>
        <w:spacing w:before="100" w:beforeAutospacing="1" w:after="90"/>
        <w:ind w:left="750"/>
        <w:rPr>
          <w:rFonts w:eastAsia="Times New Roman"/>
          <w:szCs w:val="20"/>
          <w:lang w:eastAsia="en-US"/>
        </w:rPr>
      </w:pPr>
      <w:r w:rsidRPr="003D7D30">
        <w:rPr>
          <w:rFonts w:eastAsia="Times New Roman"/>
          <w:szCs w:val="20"/>
          <w:lang w:eastAsia="en-US"/>
        </w:rPr>
        <w:t xml:space="preserve">With growth prospects for the GTA still very </w:t>
      </w:r>
      <w:proofErr w:type="spellStart"/>
      <w:r w:rsidRPr="003D7D30">
        <w:rPr>
          <w:rFonts w:eastAsia="Times New Roman"/>
          <w:szCs w:val="20"/>
          <w:lang w:eastAsia="en-US"/>
        </w:rPr>
        <w:t>favourable</w:t>
      </w:r>
      <w:proofErr w:type="spellEnd"/>
      <w:r w:rsidRPr="003D7D30">
        <w:rPr>
          <w:rFonts w:eastAsia="Times New Roman"/>
          <w:szCs w:val="20"/>
          <w:lang w:eastAsia="en-US"/>
        </w:rPr>
        <w:t xml:space="preserve">, land sales are expected to improve from 2018 levels. However, some uncertainty has been introduced to this sector, </w:t>
      </w:r>
      <w:r w:rsidR="00D53EAF">
        <w:rPr>
          <w:rFonts w:eastAsia="Times New Roman"/>
          <w:szCs w:val="20"/>
          <w:lang w:eastAsia="en-US"/>
        </w:rPr>
        <w:t xml:space="preserve">with the Province of Ontario’s proposed changes to the Growth Plan for the Greater Golden Horseshoe </w:t>
      </w:r>
      <w:r w:rsidR="00E30610">
        <w:rPr>
          <w:rFonts w:eastAsia="Times New Roman"/>
          <w:szCs w:val="20"/>
          <w:lang w:eastAsia="en-US"/>
        </w:rPr>
        <w:t xml:space="preserve">and </w:t>
      </w:r>
      <w:r w:rsidRPr="003D7D30">
        <w:rPr>
          <w:rFonts w:eastAsia="Times New Roman"/>
          <w:szCs w:val="20"/>
          <w:lang w:eastAsia="en-US"/>
        </w:rPr>
        <w:t xml:space="preserve">the </w:t>
      </w:r>
      <w:r w:rsidR="00D53EAF">
        <w:rPr>
          <w:rFonts w:eastAsia="Times New Roman"/>
          <w:szCs w:val="20"/>
          <w:lang w:eastAsia="en-US"/>
        </w:rPr>
        <w:t>introduction of the</w:t>
      </w:r>
      <w:r w:rsidR="006E05A2" w:rsidRPr="003D7D30">
        <w:rPr>
          <w:rFonts w:eastAsia="Times New Roman"/>
          <w:szCs w:val="20"/>
          <w:lang w:eastAsia="en-US"/>
        </w:rPr>
        <w:t xml:space="preserve"> </w:t>
      </w:r>
      <w:r w:rsidR="006E05A2" w:rsidRPr="003D7D30">
        <w:rPr>
          <w:rFonts w:cs="Arial"/>
          <w:szCs w:val="20"/>
        </w:rPr>
        <w:t>Local Planning Appeal Tribunal (</w:t>
      </w:r>
      <w:r w:rsidR="006E05A2" w:rsidRPr="003D7D30">
        <w:rPr>
          <w:rFonts w:eastAsia="Times New Roman"/>
          <w:szCs w:val="20"/>
          <w:lang w:eastAsia="en-US"/>
        </w:rPr>
        <w:t>LPAT)</w:t>
      </w:r>
      <w:r w:rsidR="00D53EAF">
        <w:rPr>
          <w:rFonts w:eastAsia="Times New Roman"/>
          <w:szCs w:val="20"/>
          <w:lang w:eastAsia="en-US"/>
        </w:rPr>
        <w:t>.</w:t>
      </w:r>
      <w:r w:rsidR="006E05A2" w:rsidRPr="003D7D30">
        <w:rPr>
          <w:rFonts w:eastAsia="Times New Roman"/>
          <w:szCs w:val="20"/>
          <w:lang w:eastAsia="en-US"/>
        </w:rPr>
        <w:t xml:space="preserve"> </w:t>
      </w:r>
    </w:p>
    <w:p w14:paraId="5E3D7491" w14:textId="77777777" w:rsidR="00BC0D12" w:rsidRPr="003D7D30" w:rsidRDefault="00BC0D12" w:rsidP="00BC0D12">
      <w:pPr>
        <w:numPr>
          <w:ilvl w:val="0"/>
          <w:numId w:val="17"/>
        </w:numPr>
        <w:spacing w:before="100" w:beforeAutospacing="1" w:after="100" w:afterAutospacing="1"/>
        <w:ind w:left="300"/>
        <w:rPr>
          <w:rFonts w:eastAsia="Times New Roman"/>
          <w:szCs w:val="20"/>
          <w:lang w:eastAsia="en-US"/>
        </w:rPr>
      </w:pPr>
      <w:r w:rsidRPr="003D7D30">
        <w:rPr>
          <w:rFonts w:eastAsia="Times New Roman"/>
          <w:szCs w:val="20"/>
          <w:lang w:eastAsia="en-US"/>
        </w:rPr>
        <w:t xml:space="preserve">New Homes Market: </w:t>
      </w:r>
    </w:p>
    <w:p w14:paraId="357A66DB" w14:textId="2344CDA6" w:rsidR="001F010F" w:rsidRPr="003D7D30" w:rsidRDefault="00BC0D12" w:rsidP="001F010F">
      <w:pPr>
        <w:numPr>
          <w:ilvl w:val="1"/>
          <w:numId w:val="17"/>
        </w:numPr>
        <w:spacing w:before="100" w:beforeAutospacing="1" w:after="90"/>
        <w:ind w:left="750"/>
        <w:rPr>
          <w:rFonts w:eastAsia="Times New Roman"/>
          <w:szCs w:val="20"/>
          <w:lang w:eastAsia="en-US"/>
        </w:rPr>
      </w:pPr>
      <w:r w:rsidRPr="003D7D30">
        <w:rPr>
          <w:rFonts w:eastAsia="Times New Roman"/>
          <w:szCs w:val="20"/>
          <w:lang w:eastAsia="en-US"/>
        </w:rPr>
        <w:t>Even with some mode</w:t>
      </w:r>
      <w:r w:rsidR="006B5529" w:rsidRPr="003D7D30">
        <w:rPr>
          <w:rFonts w:eastAsia="Times New Roman"/>
          <w:szCs w:val="20"/>
          <w:lang w:eastAsia="en-US"/>
        </w:rPr>
        <w:t xml:space="preserve">rate </w:t>
      </w:r>
      <w:r w:rsidRPr="003D7D30">
        <w:rPr>
          <w:rFonts w:eastAsia="Times New Roman"/>
          <w:szCs w:val="20"/>
          <w:lang w:eastAsia="en-US"/>
        </w:rPr>
        <w:t>increases in contributions from purpose-built rental buildings</w:t>
      </w:r>
      <w:r w:rsidR="006B5529" w:rsidRPr="003D7D30">
        <w:rPr>
          <w:rFonts w:eastAsia="Times New Roman"/>
          <w:szCs w:val="20"/>
          <w:lang w:eastAsia="en-US"/>
        </w:rPr>
        <w:t xml:space="preserve">, </w:t>
      </w:r>
      <w:r w:rsidRPr="003D7D30">
        <w:rPr>
          <w:rFonts w:eastAsia="Times New Roman"/>
          <w:szCs w:val="20"/>
          <w:lang w:eastAsia="en-US"/>
        </w:rPr>
        <w:t xml:space="preserve">new condos will remain the primary source of </w:t>
      </w:r>
      <w:r w:rsidR="006B5529" w:rsidRPr="003D7D30">
        <w:rPr>
          <w:rFonts w:eastAsia="Times New Roman"/>
          <w:szCs w:val="20"/>
          <w:lang w:eastAsia="en-US"/>
        </w:rPr>
        <w:t xml:space="preserve">the </w:t>
      </w:r>
      <w:r w:rsidRPr="003D7D30">
        <w:rPr>
          <w:rFonts w:eastAsia="Times New Roman"/>
          <w:szCs w:val="20"/>
          <w:lang w:eastAsia="en-US"/>
        </w:rPr>
        <w:t>additional housing needed to accomm</w:t>
      </w:r>
      <w:r w:rsidR="006B5529" w:rsidRPr="003D7D30">
        <w:rPr>
          <w:rFonts w:eastAsia="Times New Roman"/>
          <w:szCs w:val="20"/>
          <w:lang w:eastAsia="en-US"/>
        </w:rPr>
        <w:t>odate a growing population base. This will keep both end-users and investors active in the market.</w:t>
      </w:r>
      <w:r w:rsidR="001F010F" w:rsidRPr="003D7D30">
        <w:rPr>
          <w:rFonts w:eastAsia="Times New Roman"/>
          <w:szCs w:val="20"/>
          <w:lang w:eastAsia="en-US"/>
        </w:rPr>
        <w:t xml:space="preserve"> </w:t>
      </w:r>
    </w:p>
    <w:p w14:paraId="0DEBC87A" w14:textId="219211CE" w:rsidR="00BC0D12" w:rsidRPr="004377AF" w:rsidRDefault="001F010F" w:rsidP="004377AF">
      <w:pPr>
        <w:numPr>
          <w:ilvl w:val="1"/>
          <w:numId w:val="17"/>
        </w:numPr>
        <w:spacing w:before="100" w:beforeAutospacing="1" w:after="90"/>
        <w:ind w:left="750"/>
        <w:rPr>
          <w:rFonts w:eastAsia="Times New Roman"/>
          <w:szCs w:val="20"/>
          <w:lang w:eastAsia="en-US"/>
        </w:rPr>
      </w:pPr>
      <w:r w:rsidRPr="003D7D30">
        <w:rPr>
          <w:rFonts w:eastAsia="Times New Roman"/>
          <w:szCs w:val="20"/>
          <w:lang w:eastAsia="en-US"/>
        </w:rPr>
        <w:t>New single-family home sales will remain relatively low until competition with lower-priced excess supply in the resale market is reduced and more affordable product options are made available that appeal to a broader range of buyers.</w:t>
      </w:r>
    </w:p>
    <w:p w14:paraId="2C6D9218" w14:textId="7C3CF100" w:rsidR="00BC0D12" w:rsidRPr="003D7D30" w:rsidRDefault="00644E2D" w:rsidP="00BC0D12">
      <w:pPr>
        <w:numPr>
          <w:ilvl w:val="0"/>
          <w:numId w:val="17"/>
        </w:numPr>
        <w:spacing w:before="100" w:beforeAutospacing="1" w:after="100" w:afterAutospacing="1"/>
        <w:ind w:left="300"/>
        <w:rPr>
          <w:rFonts w:eastAsia="Times New Roman"/>
          <w:szCs w:val="20"/>
          <w:lang w:eastAsia="en-US"/>
        </w:rPr>
      </w:pPr>
      <w:r>
        <w:rPr>
          <w:rFonts w:eastAsia="Times New Roman"/>
          <w:szCs w:val="20"/>
          <w:lang w:eastAsia="en-US"/>
        </w:rPr>
        <w:t xml:space="preserve">Commercial </w:t>
      </w:r>
      <w:r w:rsidR="00BC0D12" w:rsidRPr="003D7D30">
        <w:rPr>
          <w:rFonts w:eastAsia="Times New Roman"/>
          <w:szCs w:val="20"/>
          <w:lang w:eastAsia="en-US"/>
        </w:rPr>
        <w:t xml:space="preserve">Investment Property: </w:t>
      </w:r>
    </w:p>
    <w:p w14:paraId="028A6380" w14:textId="682DD1EB" w:rsidR="00BC0D12" w:rsidRPr="003D7D30" w:rsidRDefault="006E05A2" w:rsidP="00BC0D12">
      <w:pPr>
        <w:numPr>
          <w:ilvl w:val="1"/>
          <w:numId w:val="17"/>
        </w:numPr>
        <w:spacing w:before="100" w:beforeAutospacing="1" w:after="90"/>
        <w:ind w:left="750"/>
        <w:rPr>
          <w:rFonts w:eastAsia="Times New Roman"/>
          <w:szCs w:val="20"/>
          <w:lang w:eastAsia="en-US"/>
        </w:rPr>
      </w:pPr>
      <w:r w:rsidRPr="003D7D30">
        <w:rPr>
          <w:rFonts w:cs="Arial"/>
          <w:szCs w:val="20"/>
        </w:rPr>
        <w:t xml:space="preserve">Investment </w:t>
      </w:r>
      <w:r w:rsidR="00D53EAF">
        <w:rPr>
          <w:rFonts w:cs="Arial"/>
          <w:szCs w:val="20"/>
        </w:rPr>
        <w:t>activity</w:t>
      </w:r>
      <w:r w:rsidRPr="003D7D30">
        <w:rPr>
          <w:rFonts w:cs="Arial"/>
          <w:szCs w:val="20"/>
        </w:rPr>
        <w:t xml:space="preserve"> in the GTA is expected to remain strong in 2019 as </w:t>
      </w:r>
      <w:r w:rsidR="00D53EAF">
        <w:rPr>
          <w:rFonts w:cs="Arial"/>
          <w:szCs w:val="20"/>
        </w:rPr>
        <w:t xml:space="preserve">assets in </w:t>
      </w:r>
      <w:r w:rsidRPr="003D7D30">
        <w:rPr>
          <w:rFonts w:cs="Arial"/>
          <w:szCs w:val="20"/>
        </w:rPr>
        <w:t xml:space="preserve">Canada and Toronto continue to be </w:t>
      </w:r>
      <w:r w:rsidR="00D53EAF">
        <w:rPr>
          <w:rFonts w:cs="Arial"/>
          <w:szCs w:val="20"/>
        </w:rPr>
        <w:t>in demand</w:t>
      </w:r>
      <w:r w:rsidRPr="003D7D30">
        <w:rPr>
          <w:rFonts w:cs="Arial"/>
          <w:szCs w:val="20"/>
        </w:rPr>
        <w:t xml:space="preserve"> for investors based on stable market fundamentals and a track record of consistent returns, especially for core asset classes. </w:t>
      </w:r>
    </w:p>
    <w:p w14:paraId="63F56D69" w14:textId="2D63F1DD" w:rsidR="00D713D1" w:rsidRPr="003D7D30" w:rsidRDefault="00D713D1" w:rsidP="00D713D1">
      <w:pPr>
        <w:spacing w:before="100" w:beforeAutospacing="1" w:after="90"/>
        <w:rPr>
          <w:rFonts w:eastAsia="Times New Roman"/>
          <w:szCs w:val="20"/>
          <w:lang w:eastAsia="en-US"/>
        </w:rPr>
      </w:pPr>
      <w:r w:rsidRPr="003D7D30">
        <w:rPr>
          <w:color w:val="000000"/>
          <w:szCs w:val="20"/>
        </w:rPr>
        <w:t xml:space="preserve">The </w:t>
      </w:r>
      <w:r w:rsidRPr="003D7D30">
        <w:rPr>
          <w:i/>
          <w:color w:val="000000"/>
          <w:szCs w:val="20"/>
        </w:rPr>
        <w:t>2019 GTA Flash Report</w:t>
      </w:r>
      <w:r w:rsidRPr="003D7D30">
        <w:rPr>
          <w:color w:val="000000"/>
          <w:szCs w:val="20"/>
        </w:rPr>
        <w:t xml:space="preserve"> can be downloaded at </w:t>
      </w:r>
      <w:hyperlink r:id="rId8" w:history="1">
        <w:r w:rsidR="0038115F" w:rsidRPr="003D7D30">
          <w:rPr>
            <w:rStyle w:val="Hyperlink"/>
            <w:rFonts w:cs="Arial"/>
            <w:szCs w:val="20"/>
            <w:lang w:val="en-CA"/>
          </w:rPr>
          <w:t>https://datasolutions.altusgroup.com/download-toronto-flash-report-2019/</w:t>
        </w:r>
      </w:hyperlink>
      <w:r w:rsidR="0038115F" w:rsidRPr="003D7D30">
        <w:rPr>
          <w:rFonts w:cs="Arial"/>
          <w:szCs w:val="20"/>
          <w:lang w:val="en-CA"/>
        </w:rPr>
        <w:t xml:space="preserve">. </w:t>
      </w:r>
    </w:p>
    <w:p w14:paraId="7D1B0C14" w14:textId="2672D513" w:rsidR="00EB3745" w:rsidRPr="00D53EAF" w:rsidRDefault="00D53EAF" w:rsidP="00D53EAF">
      <w:pPr>
        <w:jc w:val="both"/>
        <w:rPr>
          <w:color w:val="FF0000"/>
          <w:szCs w:val="20"/>
        </w:rPr>
      </w:pPr>
      <w:r w:rsidRPr="00D53EAF">
        <w:rPr>
          <w:color w:val="FF0000"/>
          <w:szCs w:val="20"/>
        </w:rPr>
        <w:t xml:space="preserve"> </w:t>
      </w:r>
    </w:p>
    <w:p w14:paraId="6BEF1884" w14:textId="77777777" w:rsidR="00E12112" w:rsidRDefault="00E12112" w:rsidP="00F63724">
      <w:pPr>
        <w:pStyle w:val="Default"/>
        <w:jc w:val="both"/>
        <w:rPr>
          <w:b/>
          <w:sz w:val="20"/>
        </w:rPr>
      </w:pPr>
    </w:p>
    <w:p w14:paraId="7CAD8C6A" w14:textId="77777777" w:rsidR="00E12112" w:rsidRDefault="00E12112" w:rsidP="00F63724">
      <w:pPr>
        <w:pStyle w:val="Default"/>
        <w:jc w:val="both"/>
        <w:rPr>
          <w:b/>
          <w:sz w:val="20"/>
        </w:rPr>
      </w:pPr>
    </w:p>
    <w:p w14:paraId="34DFD450" w14:textId="77777777" w:rsidR="00E12112" w:rsidRDefault="00E12112" w:rsidP="00F63724">
      <w:pPr>
        <w:pStyle w:val="Default"/>
        <w:jc w:val="both"/>
        <w:rPr>
          <w:b/>
          <w:sz w:val="20"/>
        </w:rPr>
      </w:pPr>
    </w:p>
    <w:p w14:paraId="1EAB4366" w14:textId="28F0B1C0" w:rsidR="00F544C9" w:rsidRPr="00D73645" w:rsidRDefault="00F544C9" w:rsidP="00F63724">
      <w:pPr>
        <w:pStyle w:val="Default"/>
        <w:jc w:val="both"/>
        <w:rPr>
          <w:b/>
          <w:sz w:val="20"/>
        </w:rPr>
      </w:pPr>
      <w:r w:rsidRPr="00D73645">
        <w:rPr>
          <w:b/>
          <w:sz w:val="20"/>
        </w:rPr>
        <w:t xml:space="preserve">About Altus Group Limited </w:t>
      </w:r>
    </w:p>
    <w:p w14:paraId="2B45637E" w14:textId="77777777" w:rsidR="00F544C9" w:rsidRPr="00D73645" w:rsidRDefault="00F544C9" w:rsidP="00F63724">
      <w:pPr>
        <w:pStyle w:val="Default"/>
        <w:jc w:val="both"/>
        <w:rPr>
          <w:sz w:val="20"/>
        </w:rPr>
      </w:pPr>
    </w:p>
    <w:p w14:paraId="7C531DD3" w14:textId="77777777" w:rsidR="002479E0" w:rsidRPr="00C61C5D" w:rsidRDefault="002479E0" w:rsidP="002479E0">
      <w:pPr>
        <w:jc w:val="both"/>
        <w:rPr>
          <w:rFonts w:cs="Arial"/>
          <w:szCs w:val="20"/>
        </w:rPr>
      </w:pPr>
      <w:r w:rsidRPr="00C61C5D">
        <w:rPr>
          <w:rFonts w:cs="Arial"/>
          <w:szCs w:val="20"/>
        </w:rPr>
        <w:lastRenderedPageBreak/>
        <w:t xml:space="preserve">Altus Group Limited is a leading provider of software, data solutions and independent advisory services to the global commercial real estate industry. Our businesses, Altus Analytics and Altus Expert Services, reflect decades of experience, a range of expertise, and technology-enabled capabilities. Our solutions empower clients to analyze, gain insight and recognize value on their real estate investments. Headquartered in Canada, we have approximately 2,500 employees around the world, with operations in North America, Europe and Asia Pacific. Our clients include some of the world’s largest real estate industry participants. Altus Group pays a quarterly dividend of $0.15 per share and our shares are traded on the TSX under the symbol AIF. </w:t>
      </w:r>
    </w:p>
    <w:p w14:paraId="1BAC1307" w14:textId="77777777" w:rsidR="002479E0" w:rsidRPr="00C61C5D" w:rsidRDefault="002479E0" w:rsidP="002479E0">
      <w:pPr>
        <w:jc w:val="both"/>
        <w:rPr>
          <w:rFonts w:cs="Arial"/>
          <w:szCs w:val="20"/>
        </w:rPr>
      </w:pPr>
    </w:p>
    <w:p w14:paraId="3362B242" w14:textId="77777777" w:rsidR="002479E0" w:rsidRDefault="002479E0" w:rsidP="002479E0">
      <w:pPr>
        <w:jc w:val="both"/>
        <w:rPr>
          <w:rFonts w:cs="Arial"/>
          <w:szCs w:val="20"/>
        </w:rPr>
      </w:pPr>
      <w:r w:rsidRPr="00C61C5D">
        <w:rPr>
          <w:rFonts w:cs="Arial"/>
          <w:szCs w:val="20"/>
        </w:rPr>
        <w:t xml:space="preserve">For more information on Altus Group, please visit: </w:t>
      </w:r>
      <w:hyperlink r:id="rId9" w:history="1">
        <w:r w:rsidRPr="005373AB">
          <w:rPr>
            <w:rStyle w:val="Hyperlink"/>
            <w:rFonts w:cs="Arial"/>
            <w:szCs w:val="20"/>
          </w:rPr>
          <w:t>www.altusgroup.com</w:t>
        </w:r>
      </w:hyperlink>
      <w:r>
        <w:rPr>
          <w:rFonts w:cs="Arial"/>
          <w:szCs w:val="20"/>
        </w:rPr>
        <w:t>.</w:t>
      </w:r>
    </w:p>
    <w:p w14:paraId="515C6A53" w14:textId="77777777" w:rsidR="00D73645" w:rsidRPr="00D73645" w:rsidRDefault="00D73645" w:rsidP="00F63724">
      <w:pPr>
        <w:jc w:val="both"/>
        <w:rPr>
          <w:rFonts w:eastAsia="Times New Roman" w:cs="Palatino Linotype"/>
          <w:color w:val="000000"/>
          <w:szCs w:val="20"/>
          <w:highlight w:val="yellow"/>
          <w:lang w:eastAsia="en-US"/>
        </w:rPr>
      </w:pPr>
    </w:p>
    <w:p w14:paraId="6167D4FB" w14:textId="77777777" w:rsidR="00F544C9" w:rsidRPr="00D73645" w:rsidRDefault="00F544C9" w:rsidP="00F63724">
      <w:pPr>
        <w:keepNext/>
        <w:keepLines/>
        <w:jc w:val="both"/>
        <w:rPr>
          <w:rFonts w:cs="Arial"/>
          <w:szCs w:val="20"/>
        </w:rPr>
      </w:pPr>
      <w:r w:rsidRPr="00D73645">
        <w:rPr>
          <w:rFonts w:cs="Arial"/>
          <w:szCs w:val="20"/>
        </w:rPr>
        <w:t>FOR FURTHER INFORMATION PLEASE CONTACT:</w:t>
      </w:r>
    </w:p>
    <w:p w14:paraId="6762916D" w14:textId="77777777" w:rsidR="000570C0" w:rsidRPr="00D73645" w:rsidRDefault="000570C0" w:rsidP="00F63724">
      <w:pPr>
        <w:jc w:val="both"/>
        <w:rPr>
          <w:rFonts w:eastAsia="Palatino"/>
          <w:szCs w:val="20"/>
          <w:lang w:eastAsia="en-US"/>
        </w:rPr>
      </w:pPr>
    </w:p>
    <w:p w14:paraId="4B71E02F" w14:textId="77777777" w:rsidR="008B02C5" w:rsidRPr="00DE70DB" w:rsidRDefault="008B02C5" w:rsidP="00F63724">
      <w:pPr>
        <w:keepNext/>
        <w:keepLines/>
        <w:jc w:val="both"/>
        <w:rPr>
          <w:rFonts w:cs="Arial"/>
          <w:b/>
          <w:szCs w:val="20"/>
        </w:rPr>
      </w:pPr>
      <w:r w:rsidRPr="00DE70DB">
        <w:rPr>
          <w:rFonts w:cs="Arial"/>
          <w:b/>
          <w:szCs w:val="20"/>
        </w:rPr>
        <w:t>Altus Group Limited</w:t>
      </w:r>
    </w:p>
    <w:p w14:paraId="6AB23FE4" w14:textId="77777777" w:rsidR="008B02C5" w:rsidRPr="00DE70DB" w:rsidRDefault="008B02C5" w:rsidP="00F63724">
      <w:pPr>
        <w:jc w:val="both"/>
        <w:rPr>
          <w:szCs w:val="20"/>
        </w:rPr>
      </w:pPr>
      <w:r w:rsidRPr="00DE70DB">
        <w:rPr>
          <w:szCs w:val="20"/>
        </w:rPr>
        <w:t>Jeff Hayward</w:t>
      </w:r>
    </w:p>
    <w:p w14:paraId="5349FF58" w14:textId="77777777" w:rsidR="008B02C5" w:rsidRPr="00DE70DB" w:rsidRDefault="008B02C5" w:rsidP="00F63724">
      <w:pPr>
        <w:jc w:val="both"/>
        <w:rPr>
          <w:rFonts w:cs="Arial"/>
          <w:szCs w:val="20"/>
        </w:rPr>
      </w:pPr>
      <w:r w:rsidRPr="00DE70DB">
        <w:rPr>
          <w:rFonts w:cs="Arial"/>
          <w:szCs w:val="20"/>
        </w:rPr>
        <w:t xml:space="preserve">Vice President, Global Marketing &amp; Communications </w:t>
      </w:r>
    </w:p>
    <w:p w14:paraId="58D5B3ED" w14:textId="77777777" w:rsidR="008B02C5" w:rsidRPr="00DE70DB" w:rsidRDefault="008B02C5" w:rsidP="00F63724">
      <w:pPr>
        <w:jc w:val="both"/>
        <w:rPr>
          <w:color w:val="000000"/>
          <w:szCs w:val="20"/>
        </w:rPr>
      </w:pPr>
      <w:r>
        <w:rPr>
          <w:color w:val="000000"/>
          <w:szCs w:val="20"/>
        </w:rPr>
        <w:t>416-234-</w:t>
      </w:r>
      <w:r w:rsidRPr="00DE70DB">
        <w:rPr>
          <w:color w:val="000000"/>
          <w:szCs w:val="20"/>
        </w:rPr>
        <w:t xml:space="preserve">4212 </w:t>
      </w:r>
    </w:p>
    <w:p w14:paraId="19646696" w14:textId="77777777" w:rsidR="008B02C5" w:rsidRPr="00DE70DB" w:rsidRDefault="00E12112" w:rsidP="00F63724">
      <w:pPr>
        <w:jc w:val="both"/>
      </w:pPr>
      <w:hyperlink r:id="rId10" w:history="1">
        <w:r w:rsidR="008B02C5" w:rsidRPr="003736C6">
          <w:rPr>
            <w:rStyle w:val="Hyperlink"/>
          </w:rPr>
          <w:t>jeff.hayward@altusgroup.com</w:t>
        </w:r>
      </w:hyperlink>
      <w:r w:rsidR="008B02C5">
        <w:t xml:space="preserve"> </w:t>
      </w:r>
    </w:p>
    <w:p w14:paraId="3BC05A04" w14:textId="77777777" w:rsidR="008B02C5" w:rsidRPr="00DE70DB" w:rsidRDefault="008B02C5" w:rsidP="00F63724">
      <w:pPr>
        <w:jc w:val="both"/>
        <w:rPr>
          <w:rFonts w:cs="Arial"/>
          <w:szCs w:val="20"/>
        </w:rPr>
      </w:pPr>
    </w:p>
    <w:p w14:paraId="5D4A16E8" w14:textId="77777777" w:rsidR="008B02C5" w:rsidRPr="00DE70DB" w:rsidRDefault="008B02C5" w:rsidP="00F63724">
      <w:pPr>
        <w:jc w:val="both"/>
        <w:rPr>
          <w:szCs w:val="20"/>
        </w:rPr>
      </w:pPr>
      <w:r w:rsidRPr="00DE70DB">
        <w:rPr>
          <w:b/>
          <w:szCs w:val="20"/>
        </w:rPr>
        <w:t>Media Contact</w:t>
      </w:r>
    </w:p>
    <w:p w14:paraId="67B9C8C0" w14:textId="259523A9" w:rsidR="008B02C5" w:rsidRDefault="00547046" w:rsidP="00F63724">
      <w:pPr>
        <w:jc w:val="both"/>
      </w:pPr>
      <w:r>
        <w:t>Michelle Titus</w:t>
      </w:r>
    </w:p>
    <w:p w14:paraId="667C301D" w14:textId="4745A068" w:rsidR="00547046" w:rsidRDefault="00547046" w:rsidP="00F63724">
      <w:pPr>
        <w:jc w:val="both"/>
      </w:pPr>
      <w:r>
        <w:t>Proof Inc.</w:t>
      </w:r>
    </w:p>
    <w:p w14:paraId="55279204" w14:textId="7C8BD2FF" w:rsidR="00547046" w:rsidRDefault="00547046" w:rsidP="00F63724">
      <w:pPr>
        <w:jc w:val="both"/>
      </w:pPr>
      <w:r>
        <w:t>416-969-1667</w:t>
      </w:r>
    </w:p>
    <w:p w14:paraId="488AA287" w14:textId="3D3FC47B" w:rsidR="00547046" w:rsidRPr="00DE70DB" w:rsidRDefault="00E12112" w:rsidP="00F63724">
      <w:pPr>
        <w:jc w:val="both"/>
      </w:pPr>
      <w:hyperlink r:id="rId11" w:history="1">
        <w:r w:rsidR="00D713D1" w:rsidRPr="00BB024E">
          <w:rPr>
            <w:rStyle w:val="Hyperlink"/>
          </w:rPr>
          <w:t>mtitus@getproof.com</w:t>
        </w:r>
      </w:hyperlink>
      <w:r w:rsidR="00D713D1">
        <w:t xml:space="preserve"> </w:t>
      </w:r>
      <w:r w:rsidR="00547046">
        <w:t xml:space="preserve"> </w:t>
      </w:r>
    </w:p>
    <w:p w14:paraId="5D576735" w14:textId="2882FF45" w:rsidR="008B02C5" w:rsidRDefault="008B02C5" w:rsidP="00F63724">
      <w:pPr>
        <w:jc w:val="both"/>
      </w:pPr>
    </w:p>
    <w:p w14:paraId="797B2E94" w14:textId="05B6D237" w:rsidR="00CC49D8" w:rsidRDefault="00CC49D8" w:rsidP="00F63724">
      <w:pPr>
        <w:jc w:val="both"/>
      </w:pPr>
    </w:p>
    <w:p w14:paraId="33F1CB4B" w14:textId="24CBB727" w:rsidR="00D73645" w:rsidRPr="00E51274" w:rsidRDefault="00D73645" w:rsidP="00F63724">
      <w:pPr>
        <w:jc w:val="both"/>
      </w:pPr>
    </w:p>
    <w:sectPr w:rsidR="00D73645" w:rsidRPr="00E51274" w:rsidSect="003048A5">
      <w:headerReference w:type="default" r:id="rId12"/>
      <w:footerReference w:type="default" r:id="rId13"/>
      <w:headerReference w:type="first" r:id="rId14"/>
      <w:footerReference w:type="first" r:id="rId15"/>
      <w:type w:val="continuous"/>
      <w:pgSz w:w="12240" w:h="15840" w:code="1"/>
      <w:pgMar w:top="1440" w:right="1080" w:bottom="1440" w:left="1080" w:header="1387" w:footer="357"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085EE" w14:textId="77777777" w:rsidR="005B3816" w:rsidRDefault="005B3816">
      <w:r>
        <w:separator/>
      </w:r>
    </w:p>
  </w:endnote>
  <w:endnote w:type="continuationSeparator" w:id="0">
    <w:p w14:paraId="57D29852" w14:textId="77777777" w:rsidR="005B3816" w:rsidRDefault="005B3816">
      <w:r>
        <w:continuationSeparator/>
      </w:r>
    </w:p>
  </w:endnote>
  <w:endnote w:type="continuationNotice" w:id="1">
    <w:p w14:paraId="04E782B7" w14:textId="77777777" w:rsidR="005B3816" w:rsidRDefault="005B38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auto"/>
    <w:pitch w:val="variable"/>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B858F" w14:textId="77777777" w:rsidR="00433754" w:rsidRPr="00161FDC" w:rsidRDefault="00433754" w:rsidP="00161FDC">
    <w:pPr>
      <w:spacing w:before="84"/>
      <w:jc w:val="center"/>
      <w:rPr>
        <w:color w:val="132947"/>
        <w:szCs w:val="20"/>
        <w:lang w:val="fr-CA"/>
      </w:rPr>
    </w:pPr>
    <w:r w:rsidRPr="00161FDC">
      <w:rPr>
        <w:rFonts w:ascii="Arial" w:hAnsi="Arial"/>
        <w:b/>
        <w:color w:val="93C3F7"/>
        <w:szCs w:val="20"/>
        <w:lang w:val="fr-CA"/>
      </w:rPr>
      <w:t>altusgroup.com</w:t>
    </w:r>
  </w:p>
  <w:p w14:paraId="50AFC4EC" w14:textId="77777777" w:rsidR="00433754" w:rsidRPr="003048A5" w:rsidRDefault="00433754" w:rsidP="003048A5">
    <w:pPr>
      <w:pStyle w:val="Footer"/>
      <w:jc w:val="right"/>
      <w:rPr>
        <w:lang w:val="en-US"/>
      </w:rPr>
    </w:pPr>
    <w:r>
      <w:fldChar w:fldCharType="begin"/>
    </w:r>
    <w:r>
      <w:instrText xml:space="preserve"> PAGE   \* MERGEFORMAT </w:instrText>
    </w:r>
    <w:r>
      <w:fldChar w:fldCharType="separate"/>
    </w:r>
    <w:r w:rsidR="00F01684">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8ECF4" w14:textId="77777777" w:rsidR="00433754" w:rsidRPr="003048A5" w:rsidRDefault="00433754" w:rsidP="003048A5">
    <w:pPr>
      <w:spacing w:before="84"/>
      <w:jc w:val="center"/>
      <w:rPr>
        <w:color w:val="132947"/>
        <w:lang w:val="fr-CA"/>
      </w:rPr>
    </w:pPr>
    <w:r>
      <w:rPr>
        <w:rFonts w:ascii="Arial" w:hAnsi="Arial"/>
        <w:b/>
        <w:color w:val="93C3F7"/>
        <w:szCs w:val="20"/>
        <w:lang w:val="fr-CA"/>
      </w:rPr>
      <w:t>altusgroup.com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C3FE1" w14:textId="77777777" w:rsidR="005B3816" w:rsidRDefault="005B3816">
      <w:r>
        <w:separator/>
      </w:r>
    </w:p>
  </w:footnote>
  <w:footnote w:type="continuationSeparator" w:id="0">
    <w:p w14:paraId="45628D32" w14:textId="77777777" w:rsidR="005B3816" w:rsidRDefault="005B3816">
      <w:r>
        <w:continuationSeparator/>
      </w:r>
    </w:p>
  </w:footnote>
  <w:footnote w:type="continuationNotice" w:id="1">
    <w:p w14:paraId="632C055D" w14:textId="77777777" w:rsidR="005B3816" w:rsidRDefault="005B38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5FE57" w14:textId="77777777" w:rsidR="00433754" w:rsidRDefault="00433754">
    <w:pPr>
      <w:pStyle w:val="Header"/>
    </w:pPr>
    <w:r>
      <w:rPr>
        <w:noProof/>
        <w:lang w:eastAsia="en-US"/>
      </w:rPr>
      <w:drawing>
        <wp:anchor distT="0" distB="0" distL="114300" distR="114300" simplePos="0" relativeHeight="251657216" behindDoc="0" locked="0" layoutInCell="1" allowOverlap="1" wp14:anchorId="0F1315F0" wp14:editId="6A3D48AA">
          <wp:simplePos x="0" y="0"/>
          <wp:positionH relativeFrom="column">
            <wp:posOffset>4800600</wp:posOffset>
          </wp:positionH>
          <wp:positionV relativeFrom="paragraph">
            <wp:posOffset>-265430</wp:posOffset>
          </wp:positionV>
          <wp:extent cx="1134110" cy="255270"/>
          <wp:effectExtent l="0" t="0" r="8890" b="0"/>
          <wp:wrapNone/>
          <wp:docPr id="1" name="Picture 1" descr="AltusHel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usHel_pms"/>
                  <pic:cNvPicPr>
                    <a:picLocks noChangeAspect="1" noChangeArrowheads="1"/>
                  </pic:cNvPicPr>
                </pic:nvPicPr>
                <pic:blipFill>
                  <a:blip r:embed="rId1">
                    <a:extLst>
                      <a:ext uri="{28A0092B-C50C-407E-A947-70E740481C1C}">
                        <a14:useLocalDpi xmlns:a14="http://schemas.microsoft.com/office/drawing/2010/main" val="0"/>
                      </a:ext>
                    </a:extLst>
                  </a:blip>
                  <a:srcRect b="44627"/>
                  <a:stretch>
                    <a:fillRect/>
                  </a:stretch>
                </pic:blipFill>
                <pic:spPr bwMode="auto">
                  <a:xfrm>
                    <a:off x="0" y="0"/>
                    <a:ext cx="1134110" cy="2552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84713" w14:textId="77777777" w:rsidR="00433754" w:rsidRPr="003048A5" w:rsidRDefault="00433754">
    <w:pPr>
      <w:rPr>
        <w:rFonts w:ascii="Verdana" w:hAnsi="Verdana"/>
        <w:color w:val="79A0D3"/>
        <w:sz w:val="18"/>
      </w:rPr>
    </w:pPr>
    <w:r>
      <w:rPr>
        <w:noProof/>
        <w:lang w:eastAsia="en-US"/>
      </w:rPr>
      <w:drawing>
        <wp:anchor distT="0" distB="0" distL="114300" distR="114300" simplePos="0" relativeHeight="251658240" behindDoc="0" locked="0" layoutInCell="1" allowOverlap="1" wp14:anchorId="4C198F9A" wp14:editId="0BA6EBBA">
          <wp:simplePos x="0" y="0"/>
          <wp:positionH relativeFrom="column">
            <wp:posOffset>4800600</wp:posOffset>
          </wp:positionH>
          <wp:positionV relativeFrom="paragraph">
            <wp:posOffset>-265430</wp:posOffset>
          </wp:positionV>
          <wp:extent cx="1123950" cy="466725"/>
          <wp:effectExtent l="0" t="0" r="0" b="9525"/>
          <wp:wrapNone/>
          <wp:docPr id="2" name="Picture 2" descr="Altus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usGrou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4667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02E2F"/>
    <w:multiLevelType w:val="hybridMultilevel"/>
    <w:tmpl w:val="E8162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1E5012"/>
    <w:multiLevelType w:val="hybridMultilevel"/>
    <w:tmpl w:val="0772F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847DB6"/>
    <w:multiLevelType w:val="hybridMultilevel"/>
    <w:tmpl w:val="C1DCC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8E3C01"/>
    <w:multiLevelType w:val="hybridMultilevel"/>
    <w:tmpl w:val="70DAE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29115C"/>
    <w:multiLevelType w:val="hybridMultilevel"/>
    <w:tmpl w:val="73F60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77418C"/>
    <w:multiLevelType w:val="hybridMultilevel"/>
    <w:tmpl w:val="A714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4F5B52"/>
    <w:multiLevelType w:val="hybridMultilevel"/>
    <w:tmpl w:val="159AF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511D82"/>
    <w:multiLevelType w:val="multilevel"/>
    <w:tmpl w:val="5E3A4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F6900FB"/>
    <w:multiLevelType w:val="hybridMultilevel"/>
    <w:tmpl w:val="888E2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D86BF2"/>
    <w:multiLevelType w:val="hybridMultilevel"/>
    <w:tmpl w:val="F0DCE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8A5D71"/>
    <w:multiLevelType w:val="hybridMultilevel"/>
    <w:tmpl w:val="8DCEAEC6"/>
    <w:lvl w:ilvl="0" w:tplc="885CC756">
      <w:start w:val="1"/>
      <w:numFmt w:val="bullet"/>
      <w:pStyle w:val="ListBullet"/>
      <w:lvlText w:val="•"/>
      <w:lvlJc w:val="left"/>
      <w:pPr>
        <w:tabs>
          <w:tab w:val="num" w:pos="678"/>
        </w:tabs>
        <w:ind w:left="678" w:hanging="113"/>
      </w:pPr>
      <w:rPr>
        <w:rFonts w:ascii="Times New Roman" w:hAnsi="Times New Roman" w:cs="Times New Roman" w:hint="default"/>
        <w:sz w:val="18"/>
        <w:szCs w:val="18"/>
      </w:rPr>
    </w:lvl>
    <w:lvl w:ilvl="1" w:tplc="04090003" w:tentative="1">
      <w:start w:val="1"/>
      <w:numFmt w:val="bullet"/>
      <w:lvlText w:val="o"/>
      <w:lvlJc w:val="left"/>
      <w:pPr>
        <w:tabs>
          <w:tab w:val="num" w:pos="2005"/>
        </w:tabs>
        <w:ind w:left="2005" w:hanging="360"/>
      </w:pPr>
      <w:rPr>
        <w:rFonts w:ascii="Courier New" w:hAnsi="Courier New" w:cs="Courier New" w:hint="default"/>
      </w:rPr>
    </w:lvl>
    <w:lvl w:ilvl="2" w:tplc="04090005" w:tentative="1">
      <w:start w:val="1"/>
      <w:numFmt w:val="bullet"/>
      <w:lvlText w:val=""/>
      <w:lvlJc w:val="left"/>
      <w:pPr>
        <w:tabs>
          <w:tab w:val="num" w:pos="2725"/>
        </w:tabs>
        <w:ind w:left="2725" w:hanging="360"/>
      </w:pPr>
      <w:rPr>
        <w:rFonts w:ascii="Wingdings" w:hAnsi="Wingdings" w:hint="default"/>
      </w:rPr>
    </w:lvl>
    <w:lvl w:ilvl="3" w:tplc="04090001" w:tentative="1">
      <w:start w:val="1"/>
      <w:numFmt w:val="bullet"/>
      <w:lvlText w:val=""/>
      <w:lvlJc w:val="left"/>
      <w:pPr>
        <w:tabs>
          <w:tab w:val="num" w:pos="3445"/>
        </w:tabs>
        <w:ind w:left="3445" w:hanging="360"/>
      </w:pPr>
      <w:rPr>
        <w:rFonts w:ascii="Symbol" w:hAnsi="Symbol" w:hint="default"/>
      </w:rPr>
    </w:lvl>
    <w:lvl w:ilvl="4" w:tplc="04090003" w:tentative="1">
      <w:start w:val="1"/>
      <w:numFmt w:val="bullet"/>
      <w:lvlText w:val="o"/>
      <w:lvlJc w:val="left"/>
      <w:pPr>
        <w:tabs>
          <w:tab w:val="num" w:pos="4165"/>
        </w:tabs>
        <w:ind w:left="4165" w:hanging="360"/>
      </w:pPr>
      <w:rPr>
        <w:rFonts w:ascii="Courier New" w:hAnsi="Courier New" w:cs="Courier New" w:hint="default"/>
      </w:rPr>
    </w:lvl>
    <w:lvl w:ilvl="5" w:tplc="04090005" w:tentative="1">
      <w:start w:val="1"/>
      <w:numFmt w:val="bullet"/>
      <w:lvlText w:val=""/>
      <w:lvlJc w:val="left"/>
      <w:pPr>
        <w:tabs>
          <w:tab w:val="num" w:pos="4885"/>
        </w:tabs>
        <w:ind w:left="4885" w:hanging="360"/>
      </w:pPr>
      <w:rPr>
        <w:rFonts w:ascii="Wingdings" w:hAnsi="Wingdings" w:hint="default"/>
      </w:rPr>
    </w:lvl>
    <w:lvl w:ilvl="6" w:tplc="04090001" w:tentative="1">
      <w:start w:val="1"/>
      <w:numFmt w:val="bullet"/>
      <w:lvlText w:val=""/>
      <w:lvlJc w:val="left"/>
      <w:pPr>
        <w:tabs>
          <w:tab w:val="num" w:pos="5605"/>
        </w:tabs>
        <w:ind w:left="5605" w:hanging="360"/>
      </w:pPr>
      <w:rPr>
        <w:rFonts w:ascii="Symbol" w:hAnsi="Symbol" w:hint="default"/>
      </w:rPr>
    </w:lvl>
    <w:lvl w:ilvl="7" w:tplc="04090003" w:tentative="1">
      <w:start w:val="1"/>
      <w:numFmt w:val="bullet"/>
      <w:lvlText w:val="o"/>
      <w:lvlJc w:val="left"/>
      <w:pPr>
        <w:tabs>
          <w:tab w:val="num" w:pos="6325"/>
        </w:tabs>
        <w:ind w:left="6325" w:hanging="360"/>
      </w:pPr>
      <w:rPr>
        <w:rFonts w:ascii="Courier New" w:hAnsi="Courier New" w:cs="Courier New" w:hint="default"/>
      </w:rPr>
    </w:lvl>
    <w:lvl w:ilvl="8" w:tplc="04090005" w:tentative="1">
      <w:start w:val="1"/>
      <w:numFmt w:val="bullet"/>
      <w:lvlText w:val=""/>
      <w:lvlJc w:val="left"/>
      <w:pPr>
        <w:tabs>
          <w:tab w:val="num" w:pos="7045"/>
        </w:tabs>
        <w:ind w:left="7045" w:hanging="360"/>
      </w:pPr>
      <w:rPr>
        <w:rFonts w:ascii="Wingdings" w:hAnsi="Wingdings" w:hint="default"/>
      </w:rPr>
    </w:lvl>
  </w:abstractNum>
  <w:abstractNum w:abstractNumId="11" w15:restartNumberingAfterBreak="0">
    <w:nsid w:val="69094EE4"/>
    <w:multiLevelType w:val="hybridMultilevel"/>
    <w:tmpl w:val="86FCE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0D029C"/>
    <w:multiLevelType w:val="hybridMultilevel"/>
    <w:tmpl w:val="9BF45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887408"/>
    <w:multiLevelType w:val="hybridMultilevel"/>
    <w:tmpl w:val="399EC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19460D"/>
    <w:multiLevelType w:val="hybridMultilevel"/>
    <w:tmpl w:val="53508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3860BD"/>
    <w:multiLevelType w:val="hybridMultilevel"/>
    <w:tmpl w:val="FCBEC9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7D200293"/>
    <w:multiLevelType w:val="hybridMultilevel"/>
    <w:tmpl w:val="6F7C5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475D68"/>
    <w:multiLevelType w:val="hybridMultilevel"/>
    <w:tmpl w:val="9F309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4"/>
  </w:num>
  <w:num w:numId="4">
    <w:abstractNumId w:val="5"/>
  </w:num>
  <w:num w:numId="5">
    <w:abstractNumId w:val="17"/>
  </w:num>
  <w:num w:numId="6">
    <w:abstractNumId w:val="15"/>
  </w:num>
  <w:num w:numId="7">
    <w:abstractNumId w:val="2"/>
  </w:num>
  <w:num w:numId="8">
    <w:abstractNumId w:val="1"/>
  </w:num>
  <w:num w:numId="9">
    <w:abstractNumId w:val="0"/>
  </w:num>
  <w:num w:numId="10">
    <w:abstractNumId w:val="16"/>
  </w:num>
  <w:num w:numId="11">
    <w:abstractNumId w:val="6"/>
  </w:num>
  <w:num w:numId="12">
    <w:abstractNumId w:val="6"/>
  </w:num>
  <w:num w:numId="13">
    <w:abstractNumId w:val="11"/>
  </w:num>
  <w:num w:numId="14">
    <w:abstractNumId w:val="8"/>
  </w:num>
  <w:num w:numId="15">
    <w:abstractNumId w:val="13"/>
  </w:num>
  <w:num w:numId="16">
    <w:abstractNumId w:val="12"/>
  </w:num>
  <w:num w:numId="17">
    <w:abstractNumId w:val="7"/>
  </w:num>
  <w:num w:numId="18">
    <w:abstractNumId w:val="3"/>
  </w:num>
  <w:num w:numId="19">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6145">
      <o:colormru v:ext="edit" colors="#002e78,#175591"/>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I0MjUzMjC2MLY0N7NU0lEKTi0uzszPAykwrQUA4TIcYCwAAAA="/>
    <w:docVar w:name="APWAFNeedToUniquify" w:val="false"/>
    <w:docVar w:name="APWAFVersion" w:val="5.0"/>
  </w:docVars>
  <w:rsids>
    <w:rsidRoot w:val="00F850A2"/>
    <w:rsid w:val="00000558"/>
    <w:rsid w:val="00000BB4"/>
    <w:rsid w:val="00002201"/>
    <w:rsid w:val="00005187"/>
    <w:rsid w:val="00007115"/>
    <w:rsid w:val="00007266"/>
    <w:rsid w:val="00007A1B"/>
    <w:rsid w:val="00007A9E"/>
    <w:rsid w:val="00010EA4"/>
    <w:rsid w:val="00011F51"/>
    <w:rsid w:val="0001252E"/>
    <w:rsid w:val="000128D3"/>
    <w:rsid w:val="0001458D"/>
    <w:rsid w:val="00015584"/>
    <w:rsid w:val="0001563E"/>
    <w:rsid w:val="00015B9F"/>
    <w:rsid w:val="0001622E"/>
    <w:rsid w:val="00016B51"/>
    <w:rsid w:val="000177E5"/>
    <w:rsid w:val="0002135E"/>
    <w:rsid w:val="00021396"/>
    <w:rsid w:val="00022110"/>
    <w:rsid w:val="00023DE1"/>
    <w:rsid w:val="00024AFD"/>
    <w:rsid w:val="00027AB1"/>
    <w:rsid w:val="00030964"/>
    <w:rsid w:val="00030BE9"/>
    <w:rsid w:val="00033A38"/>
    <w:rsid w:val="00034E77"/>
    <w:rsid w:val="00035C19"/>
    <w:rsid w:val="000363B2"/>
    <w:rsid w:val="00037D12"/>
    <w:rsid w:val="000433E8"/>
    <w:rsid w:val="0004375E"/>
    <w:rsid w:val="0004382C"/>
    <w:rsid w:val="00044AF5"/>
    <w:rsid w:val="00044F85"/>
    <w:rsid w:val="0004542B"/>
    <w:rsid w:val="0004600E"/>
    <w:rsid w:val="00046500"/>
    <w:rsid w:val="00050EA0"/>
    <w:rsid w:val="0005133C"/>
    <w:rsid w:val="000513A9"/>
    <w:rsid w:val="00052030"/>
    <w:rsid w:val="00052380"/>
    <w:rsid w:val="0005265B"/>
    <w:rsid w:val="00052E3A"/>
    <w:rsid w:val="000540E7"/>
    <w:rsid w:val="00055146"/>
    <w:rsid w:val="0005655B"/>
    <w:rsid w:val="000570C0"/>
    <w:rsid w:val="000606D7"/>
    <w:rsid w:val="0006355D"/>
    <w:rsid w:val="00063D9D"/>
    <w:rsid w:val="00066773"/>
    <w:rsid w:val="00066A46"/>
    <w:rsid w:val="00070772"/>
    <w:rsid w:val="00071A47"/>
    <w:rsid w:val="00071BFC"/>
    <w:rsid w:val="00071E6C"/>
    <w:rsid w:val="00074B30"/>
    <w:rsid w:val="00075C6B"/>
    <w:rsid w:val="00076A84"/>
    <w:rsid w:val="00076E77"/>
    <w:rsid w:val="0007710F"/>
    <w:rsid w:val="00077B43"/>
    <w:rsid w:val="0008030C"/>
    <w:rsid w:val="00080AC8"/>
    <w:rsid w:val="00081A0A"/>
    <w:rsid w:val="00086928"/>
    <w:rsid w:val="00087F19"/>
    <w:rsid w:val="00093B8F"/>
    <w:rsid w:val="00093FF4"/>
    <w:rsid w:val="00094001"/>
    <w:rsid w:val="000954BB"/>
    <w:rsid w:val="00096D1D"/>
    <w:rsid w:val="000A1B0E"/>
    <w:rsid w:val="000A3FA5"/>
    <w:rsid w:val="000A491D"/>
    <w:rsid w:val="000A5D72"/>
    <w:rsid w:val="000A685E"/>
    <w:rsid w:val="000A6E0E"/>
    <w:rsid w:val="000B3592"/>
    <w:rsid w:val="000B39D2"/>
    <w:rsid w:val="000B43F9"/>
    <w:rsid w:val="000B496C"/>
    <w:rsid w:val="000B4BA7"/>
    <w:rsid w:val="000B61AA"/>
    <w:rsid w:val="000B6447"/>
    <w:rsid w:val="000C0285"/>
    <w:rsid w:val="000C3280"/>
    <w:rsid w:val="000C48BE"/>
    <w:rsid w:val="000C536A"/>
    <w:rsid w:val="000C56A1"/>
    <w:rsid w:val="000C577E"/>
    <w:rsid w:val="000C6C53"/>
    <w:rsid w:val="000C7531"/>
    <w:rsid w:val="000D05D2"/>
    <w:rsid w:val="000D0EF1"/>
    <w:rsid w:val="000D13E9"/>
    <w:rsid w:val="000D1707"/>
    <w:rsid w:val="000D28BF"/>
    <w:rsid w:val="000D3BCC"/>
    <w:rsid w:val="000D647C"/>
    <w:rsid w:val="000D7E57"/>
    <w:rsid w:val="000E0DA3"/>
    <w:rsid w:val="000E1125"/>
    <w:rsid w:val="000E133E"/>
    <w:rsid w:val="000E260B"/>
    <w:rsid w:val="000E29A6"/>
    <w:rsid w:val="000E30E0"/>
    <w:rsid w:val="000E3322"/>
    <w:rsid w:val="000E4A43"/>
    <w:rsid w:val="000E5FED"/>
    <w:rsid w:val="000E6E5B"/>
    <w:rsid w:val="000F0247"/>
    <w:rsid w:val="000F0F01"/>
    <w:rsid w:val="000F74D9"/>
    <w:rsid w:val="00100FDB"/>
    <w:rsid w:val="00103CA6"/>
    <w:rsid w:val="0010704C"/>
    <w:rsid w:val="00107AB0"/>
    <w:rsid w:val="00110BB4"/>
    <w:rsid w:val="001111D2"/>
    <w:rsid w:val="00111886"/>
    <w:rsid w:val="001142E4"/>
    <w:rsid w:val="001157AF"/>
    <w:rsid w:val="001158D9"/>
    <w:rsid w:val="00120D2C"/>
    <w:rsid w:val="0012197C"/>
    <w:rsid w:val="0012216E"/>
    <w:rsid w:val="001235A6"/>
    <w:rsid w:val="001241FA"/>
    <w:rsid w:val="0012538D"/>
    <w:rsid w:val="0012689B"/>
    <w:rsid w:val="00130F26"/>
    <w:rsid w:val="00132BF8"/>
    <w:rsid w:val="00133BF9"/>
    <w:rsid w:val="00135464"/>
    <w:rsid w:val="00135C84"/>
    <w:rsid w:val="0014148E"/>
    <w:rsid w:val="00143E65"/>
    <w:rsid w:val="00144B99"/>
    <w:rsid w:val="001453DE"/>
    <w:rsid w:val="0014563D"/>
    <w:rsid w:val="001466ED"/>
    <w:rsid w:val="00146AC7"/>
    <w:rsid w:val="00147674"/>
    <w:rsid w:val="00151EA2"/>
    <w:rsid w:val="00151F03"/>
    <w:rsid w:val="00152732"/>
    <w:rsid w:val="00153758"/>
    <w:rsid w:val="00156238"/>
    <w:rsid w:val="001601AD"/>
    <w:rsid w:val="00160326"/>
    <w:rsid w:val="0016169A"/>
    <w:rsid w:val="00161FDC"/>
    <w:rsid w:val="00163425"/>
    <w:rsid w:val="00164EE9"/>
    <w:rsid w:val="00165CBF"/>
    <w:rsid w:val="00165E5E"/>
    <w:rsid w:val="0016601B"/>
    <w:rsid w:val="00166B39"/>
    <w:rsid w:val="00170CE9"/>
    <w:rsid w:val="00171391"/>
    <w:rsid w:val="00173E8E"/>
    <w:rsid w:val="00174975"/>
    <w:rsid w:val="00175713"/>
    <w:rsid w:val="0017666A"/>
    <w:rsid w:val="0017699C"/>
    <w:rsid w:val="00180307"/>
    <w:rsid w:val="00181EFE"/>
    <w:rsid w:val="001832BA"/>
    <w:rsid w:val="00186801"/>
    <w:rsid w:val="00190066"/>
    <w:rsid w:val="00191995"/>
    <w:rsid w:val="001922F8"/>
    <w:rsid w:val="00194259"/>
    <w:rsid w:val="00194261"/>
    <w:rsid w:val="00194852"/>
    <w:rsid w:val="0019553A"/>
    <w:rsid w:val="001968D6"/>
    <w:rsid w:val="00196E9E"/>
    <w:rsid w:val="00197F16"/>
    <w:rsid w:val="001A25A1"/>
    <w:rsid w:val="001A3AC8"/>
    <w:rsid w:val="001A3EFB"/>
    <w:rsid w:val="001A7941"/>
    <w:rsid w:val="001B21E6"/>
    <w:rsid w:val="001B30A5"/>
    <w:rsid w:val="001B4B6E"/>
    <w:rsid w:val="001B6750"/>
    <w:rsid w:val="001B6B49"/>
    <w:rsid w:val="001C1D5E"/>
    <w:rsid w:val="001C2967"/>
    <w:rsid w:val="001C3D49"/>
    <w:rsid w:val="001C6453"/>
    <w:rsid w:val="001C7533"/>
    <w:rsid w:val="001C7FE0"/>
    <w:rsid w:val="001D125C"/>
    <w:rsid w:val="001D1693"/>
    <w:rsid w:val="001D25A0"/>
    <w:rsid w:val="001D281E"/>
    <w:rsid w:val="001D5E3E"/>
    <w:rsid w:val="001D5E9A"/>
    <w:rsid w:val="001D5FE6"/>
    <w:rsid w:val="001D620E"/>
    <w:rsid w:val="001D7FF9"/>
    <w:rsid w:val="001E1629"/>
    <w:rsid w:val="001E3F6C"/>
    <w:rsid w:val="001E46D6"/>
    <w:rsid w:val="001E4DED"/>
    <w:rsid w:val="001E6170"/>
    <w:rsid w:val="001E6A68"/>
    <w:rsid w:val="001E6C28"/>
    <w:rsid w:val="001F010F"/>
    <w:rsid w:val="001F5398"/>
    <w:rsid w:val="001F6E36"/>
    <w:rsid w:val="002012C6"/>
    <w:rsid w:val="002036F0"/>
    <w:rsid w:val="00203AE2"/>
    <w:rsid w:val="00205F23"/>
    <w:rsid w:val="00205F44"/>
    <w:rsid w:val="00205FE0"/>
    <w:rsid w:val="00206873"/>
    <w:rsid w:val="0021007D"/>
    <w:rsid w:val="00210604"/>
    <w:rsid w:val="00210E07"/>
    <w:rsid w:val="00213634"/>
    <w:rsid w:val="00214F25"/>
    <w:rsid w:val="00215A34"/>
    <w:rsid w:val="00215CC4"/>
    <w:rsid w:val="002179BF"/>
    <w:rsid w:val="002215CE"/>
    <w:rsid w:val="0022162D"/>
    <w:rsid w:val="002255EF"/>
    <w:rsid w:val="00227FCD"/>
    <w:rsid w:val="00231B5F"/>
    <w:rsid w:val="00233349"/>
    <w:rsid w:val="0023458F"/>
    <w:rsid w:val="00240310"/>
    <w:rsid w:val="0024061D"/>
    <w:rsid w:val="002450A6"/>
    <w:rsid w:val="002459FD"/>
    <w:rsid w:val="00246092"/>
    <w:rsid w:val="002464C2"/>
    <w:rsid w:val="002479E0"/>
    <w:rsid w:val="00247FF8"/>
    <w:rsid w:val="00250946"/>
    <w:rsid w:val="00251B29"/>
    <w:rsid w:val="002538CB"/>
    <w:rsid w:val="002541F2"/>
    <w:rsid w:val="00255E3D"/>
    <w:rsid w:val="00257C37"/>
    <w:rsid w:val="00260B79"/>
    <w:rsid w:val="00262559"/>
    <w:rsid w:val="0026352F"/>
    <w:rsid w:val="00263A8F"/>
    <w:rsid w:val="00263C52"/>
    <w:rsid w:val="00264EAE"/>
    <w:rsid w:val="0026645C"/>
    <w:rsid w:val="00266B62"/>
    <w:rsid w:val="00266C38"/>
    <w:rsid w:val="002677E0"/>
    <w:rsid w:val="00270117"/>
    <w:rsid w:val="00271EAE"/>
    <w:rsid w:val="00272973"/>
    <w:rsid w:val="00272C94"/>
    <w:rsid w:val="00273B2C"/>
    <w:rsid w:val="0027479D"/>
    <w:rsid w:val="00275161"/>
    <w:rsid w:val="00286F26"/>
    <w:rsid w:val="00291B3D"/>
    <w:rsid w:val="00293642"/>
    <w:rsid w:val="00293CE1"/>
    <w:rsid w:val="00294691"/>
    <w:rsid w:val="00296096"/>
    <w:rsid w:val="00296484"/>
    <w:rsid w:val="00297B9C"/>
    <w:rsid w:val="002A0DA5"/>
    <w:rsid w:val="002A449C"/>
    <w:rsid w:val="002A6811"/>
    <w:rsid w:val="002A7C0B"/>
    <w:rsid w:val="002A7C64"/>
    <w:rsid w:val="002B0884"/>
    <w:rsid w:val="002B13B7"/>
    <w:rsid w:val="002B26D7"/>
    <w:rsid w:val="002B2F24"/>
    <w:rsid w:val="002B5D33"/>
    <w:rsid w:val="002B74B3"/>
    <w:rsid w:val="002C1D36"/>
    <w:rsid w:val="002C32E5"/>
    <w:rsid w:val="002C373A"/>
    <w:rsid w:val="002C406C"/>
    <w:rsid w:val="002C6320"/>
    <w:rsid w:val="002C681E"/>
    <w:rsid w:val="002D1C2B"/>
    <w:rsid w:val="002D2297"/>
    <w:rsid w:val="002D27E1"/>
    <w:rsid w:val="002D2822"/>
    <w:rsid w:val="002D2C37"/>
    <w:rsid w:val="002D4AA5"/>
    <w:rsid w:val="002D5D38"/>
    <w:rsid w:val="002D5DE1"/>
    <w:rsid w:val="002D647B"/>
    <w:rsid w:val="002E453F"/>
    <w:rsid w:val="002E4CE7"/>
    <w:rsid w:val="002E7930"/>
    <w:rsid w:val="002F3F4F"/>
    <w:rsid w:val="002F5AFF"/>
    <w:rsid w:val="002F6A92"/>
    <w:rsid w:val="003002B2"/>
    <w:rsid w:val="00300ED1"/>
    <w:rsid w:val="00301065"/>
    <w:rsid w:val="00302274"/>
    <w:rsid w:val="00303022"/>
    <w:rsid w:val="00303E63"/>
    <w:rsid w:val="003048A5"/>
    <w:rsid w:val="00306C57"/>
    <w:rsid w:val="0030724D"/>
    <w:rsid w:val="0030728D"/>
    <w:rsid w:val="003079B8"/>
    <w:rsid w:val="00312A52"/>
    <w:rsid w:val="003142BC"/>
    <w:rsid w:val="003150B2"/>
    <w:rsid w:val="003153D4"/>
    <w:rsid w:val="00315658"/>
    <w:rsid w:val="003160F5"/>
    <w:rsid w:val="003162C0"/>
    <w:rsid w:val="00316FA8"/>
    <w:rsid w:val="00320F5C"/>
    <w:rsid w:val="00324340"/>
    <w:rsid w:val="00324F62"/>
    <w:rsid w:val="003263F2"/>
    <w:rsid w:val="0032782A"/>
    <w:rsid w:val="003305B9"/>
    <w:rsid w:val="00333B40"/>
    <w:rsid w:val="00333F53"/>
    <w:rsid w:val="00334BDC"/>
    <w:rsid w:val="00335437"/>
    <w:rsid w:val="00335984"/>
    <w:rsid w:val="00340185"/>
    <w:rsid w:val="0034145F"/>
    <w:rsid w:val="00341B96"/>
    <w:rsid w:val="00341DDA"/>
    <w:rsid w:val="00342C8C"/>
    <w:rsid w:val="0034310C"/>
    <w:rsid w:val="00343208"/>
    <w:rsid w:val="003479FC"/>
    <w:rsid w:val="00347C2C"/>
    <w:rsid w:val="00354275"/>
    <w:rsid w:val="00361420"/>
    <w:rsid w:val="003616C5"/>
    <w:rsid w:val="0036223E"/>
    <w:rsid w:val="00362624"/>
    <w:rsid w:val="003646B8"/>
    <w:rsid w:val="00365C61"/>
    <w:rsid w:val="003667C4"/>
    <w:rsid w:val="00370305"/>
    <w:rsid w:val="00370625"/>
    <w:rsid w:val="00374CEF"/>
    <w:rsid w:val="00375128"/>
    <w:rsid w:val="00375D2A"/>
    <w:rsid w:val="0038101C"/>
    <w:rsid w:val="0038115F"/>
    <w:rsid w:val="00381A27"/>
    <w:rsid w:val="00383CBC"/>
    <w:rsid w:val="003856C3"/>
    <w:rsid w:val="00391AB5"/>
    <w:rsid w:val="00391EE2"/>
    <w:rsid w:val="00393B4F"/>
    <w:rsid w:val="0039404A"/>
    <w:rsid w:val="00394AEA"/>
    <w:rsid w:val="00395981"/>
    <w:rsid w:val="003959EE"/>
    <w:rsid w:val="003A3690"/>
    <w:rsid w:val="003A5CF4"/>
    <w:rsid w:val="003A7525"/>
    <w:rsid w:val="003A79FF"/>
    <w:rsid w:val="003A7D30"/>
    <w:rsid w:val="003B1323"/>
    <w:rsid w:val="003B1D9A"/>
    <w:rsid w:val="003B5E29"/>
    <w:rsid w:val="003B7047"/>
    <w:rsid w:val="003B7457"/>
    <w:rsid w:val="003C0EC5"/>
    <w:rsid w:val="003C13E9"/>
    <w:rsid w:val="003C358A"/>
    <w:rsid w:val="003C3F04"/>
    <w:rsid w:val="003D1794"/>
    <w:rsid w:val="003D1C71"/>
    <w:rsid w:val="003D32A7"/>
    <w:rsid w:val="003D3B8C"/>
    <w:rsid w:val="003D596F"/>
    <w:rsid w:val="003D5CE3"/>
    <w:rsid w:val="003D7B16"/>
    <w:rsid w:val="003D7D30"/>
    <w:rsid w:val="003D7E5C"/>
    <w:rsid w:val="003E02FC"/>
    <w:rsid w:val="003E0739"/>
    <w:rsid w:val="003E0B04"/>
    <w:rsid w:val="003E2EA4"/>
    <w:rsid w:val="003E3A1D"/>
    <w:rsid w:val="003E4BB6"/>
    <w:rsid w:val="003F07AB"/>
    <w:rsid w:val="003F14E1"/>
    <w:rsid w:val="003F1C08"/>
    <w:rsid w:val="003F2A63"/>
    <w:rsid w:val="003F2DEE"/>
    <w:rsid w:val="003F30D2"/>
    <w:rsid w:val="003F37B2"/>
    <w:rsid w:val="003F4B97"/>
    <w:rsid w:val="003F4D49"/>
    <w:rsid w:val="003F51FB"/>
    <w:rsid w:val="004016FB"/>
    <w:rsid w:val="00401B33"/>
    <w:rsid w:val="0040260A"/>
    <w:rsid w:val="004030A3"/>
    <w:rsid w:val="0040359B"/>
    <w:rsid w:val="0040629F"/>
    <w:rsid w:val="004069B0"/>
    <w:rsid w:val="004071EC"/>
    <w:rsid w:val="00411ADF"/>
    <w:rsid w:val="00412AFF"/>
    <w:rsid w:val="00412E73"/>
    <w:rsid w:val="004139B3"/>
    <w:rsid w:val="00413E58"/>
    <w:rsid w:val="00415993"/>
    <w:rsid w:val="00416A06"/>
    <w:rsid w:val="00417088"/>
    <w:rsid w:val="004179A1"/>
    <w:rsid w:val="00420AEA"/>
    <w:rsid w:val="00421052"/>
    <w:rsid w:val="00421464"/>
    <w:rsid w:val="004216F3"/>
    <w:rsid w:val="00422E76"/>
    <w:rsid w:val="00423575"/>
    <w:rsid w:val="004264CC"/>
    <w:rsid w:val="004269EB"/>
    <w:rsid w:val="0042729D"/>
    <w:rsid w:val="00433754"/>
    <w:rsid w:val="0043383F"/>
    <w:rsid w:val="0043458A"/>
    <w:rsid w:val="00434A8E"/>
    <w:rsid w:val="00434A9A"/>
    <w:rsid w:val="00434D62"/>
    <w:rsid w:val="004377AF"/>
    <w:rsid w:val="004414B8"/>
    <w:rsid w:val="004417C9"/>
    <w:rsid w:val="00442929"/>
    <w:rsid w:val="00444F79"/>
    <w:rsid w:val="00446A8C"/>
    <w:rsid w:val="0045129C"/>
    <w:rsid w:val="00452260"/>
    <w:rsid w:val="0045274A"/>
    <w:rsid w:val="00453040"/>
    <w:rsid w:val="00454A52"/>
    <w:rsid w:val="004551F3"/>
    <w:rsid w:val="004561FB"/>
    <w:rsid w:val="0045772E"/>
    <w:rsid w:val="0046080A"/>
    <w:rsid w:val="00461AF6"/>
    <w:rsid w:val="00462A33"/>
    <w:rsid w:val="00464405"/>
    <w:rsid w:val="00465234"/>
    <w:rsid w:val="0046688A"/>
    <w:rsid w:val="00467901"/>
    <w:rsid w:val="00471687"/>
    <w:rsid w:val="00472F1A"/>
    <w:rsid w:val="0047332C"/>
    <w:rsid w:val="00475717"/>
    <w:rsid w:val="004767CC"/>
    <w:rsid w:val="00483AF3"/>
    <w:rsid w:val="00483FEE"/>
    <w:rsid w:val="00484358"/>
    <w:rsid w:val="004854B4"/>
    <w:rsid w:val="00491FC3"/>
    <w:rsid w:val="0049433F"/>
    <w:rsid w:val="00494C82"/>
    <w:rsid w:val="004A0F5F"/>
    <w:rsid w:val="004A252A"/>
    <w:rsid w:val="004A2E2D"/>
    <w:rsid w:val="004A3958"/>
    <w:rsid w:val="004A3AB2"/>
    <w:rsid w:val="004A4BBB"/>
    <w:rsid w:val="004A5D95"/>
    <w:rsid w:val="004A6DDB"/>
    <w:rsid w:val="004B047D"/>
    <w:rsid w:val="004B15E5"/>
    <w:rsid w:val="004B21F6"/>
    <w:rsid w:val="004B4344"/>
    <w:rsid w:val="004B5AD6"/>
    <w:rsid w:val="004B6118"/>
    <w:rsid w:val="004B6523"/>
    <w:rsid w:val="004B7E66"/>
    <w:rsid w:val="004C0022"/>
    <w:rsid w:val="004C1A11"/>
    <w:rsid w:val="004C24C3"/>
    <w:rsid w:val="004C2C0E"/>
    <w:rsid w:val="004C4C87"/>
    <w:rsid w:val="004C59D8"/>
    <w:rsid w:val="004C6546"/>
    <w:rsid w:val="004C6AB6"/>
    <w:rsid w:val="004C6D5A"/>
    <w:rsid w:val="004D231C"/>
    <w:rsid w:val="004D2D80"/>
    <w:rsid w:val="004D7ED4"/>
    <w:rsid w:val="004E0632"/>
    <w:rsid w:val="004E1CF6"/>
    <w:rsid w:val="004E2418"/>
    <w:rsid w:val="004E3ADD"/>
    <w:rsid w:val="004E62EA"/>
    <w:rsid w:val="004E6C06"/>
    <w:rsid w:val="004E7FFB"/>
    <w:rsid w:val="004F36AE"/>
    <w:rsid w:val="004F6FF2"/>
    <w:rsid w:val="00501A56"/>
    <w:rsid w:val="00502D91"/>
    <w:rsid w:val="005031B2"/>
    <w:rsid w:val="0050419D"/>
    <w:rsid w:val="00507D5F"/>
    <w:rsid w:val="00510711"/>
    <w:rsid w:val="00510846"/>
    <w:rsid w:val="0051132A"/>
    <w:rsid w:val="0051163E"/>
    <w:rsid w:val="0051182A"/>
    <w:rsid w:val="00514276"/>
    <w:rsid w:val="00520CC4"/>
    <w:rsid w:val="00520DE3"/>
    <w:rsid w:val="005237F3"/>
    <w:rsid w:val="00523E18"/>
    <w:rsid w:val="005246E3"/>
    <w:rsid w:val="00525155"/>
    <w:rsid w:val="00525C1E"/>
    <w:rsid w:val="00525F16"/>
    <w:rsid w:val="00526E73"/>
    <w:rsid w:val="00535D29"/>
    <w:rsid w:val="005418C4"/>
    <w:rsid w:val="00542939"/>
    <w:rsid w:val="00547046"/>
    <w:rsid w:val="0054709B"/>
    <w:rsid w:val="0055048E"/>
    <w:rsid w:val="005516BC"/>
    <w:rsid w:val="00552E51"/>
    <w:rsid w:val="005545ED"/>
    <w:rsid w:val="00554706"/>
    <w:rsid w:val="0055485A"/>
    <w:rsid w:val="005602A8"/>
    <w:rsid w:val="00561FFF"/>
    <w:rsid w:val="005646DF"/>
    <w:rsid w:val="00565EFF"/>
    <w:rsid w:val="005661C2"/>
    <w:rsid w:val="00570F71"/>
    <w:rsid w:val="005715C3"/>
    <w:rsid w:val="00572B31"/>
    <w:rsid w:val="005736FC"/>
    <w:rsid w:val="005739C2"/>
    <w:rsid w:val="00573AD6"/>
    <w:rsid w:val="005746A6"/>
    <w:rsid w:val="005748FF"/>
    <w:rsid w:val="00574D77"/>
    <w:rsid w:val="00577D0F"/>
    <w:rsid w:val="00580A15"/>
    <w:rsid w:val="0058117B"/>
    <w:rsid w:val="00583A05"/>
    <w:rsid w:val="005851B7"/>
    <w:rsid w:val="0058587F"/>
    <w:rsid w:val="00587DA0"/>
    <w:rsid w:val="0059219F"/>
    <w:rsid w:val="005926AD"/>
    <w:rsid w:val="00594522"/>
    <w:rsid w:val="00595ED7"/>
    <w:rsid w:val="00596578"/>
    <w:rsid w:val="00596AD5"/>
    <w:rsid w:val="00597B3D"/>
    <w:rsid w:val="005A010A"/>
    <w:rsid w:val="005A1427"/>
    <w:rsid w:val="005A163D"/>
    <w:rsid w:val="005A1643"/>
    <w:rsid w:val="005A3676"/>
    <w:rsid w:val="005A5B3F"/>
    <w:rsid w:val="005A5F0F"/>
    <w:rsid w:val="005A6106"/>
    <w:rsid w:val="005A77BE"/>
    <w:rsid w:val="005B3816"/>
    <w:rsid w:val="005B39A6"/>
    <w:rsid w:val="005B400C"/>
    <w:rsid w:val="005B61EE"/>
    <w:rsid w:val="005B6FEE"/>
    <w:rsid w:val="005C2163"/>
    <w:rsid w:val="005C4359"/>
    <w:rsid w:val="005C4F78"/>
    <w:rsid w:val="005C5E6A"/>
    <w:rsid w:val="005C7A8C"/>
    <w:rsid w:val="005D001F"/>
    <w:rsid w:val="005D63BC"/>
    <w:rsid w:val="005D671F"/>
    <w:rsid w:val="005D6C2A"/>
    <w:rsid w:val="005E00A2"/>
    <w:rsid w:val="005E0CED"/>
    <w:rsid w:val="005E2463"/>
    <w:rsid w:val="005E2A63"/>
    <w:rsid w:val="005E2EC5"/>
    <w:rsid w:val="005E3DBC"/>
    <w:rsid w:val="005E3FBF"/>
    <w:rsid w:val="005E6EAB"/>
    <w:rsid w:val="005E6FC8"/>
    <w:rsid w:val="005E736F"/>
    <w:rsid w:val="005E7884"/>
    <w:rsid w:val="005E7918"/>
    <w:rsid w:val="005F1276"/>
    <w:rsid w:val="005F28ED"/>
    <w:rsid w:val="005F402A"/>
    <w:rsid w:val="005F5D07"/>
    <w:rsid w:val="0060047E"/>
    <w:rsid w:val="00601444"/>
    <w:rsid w:val="006016E0"/>
    <w:rsid w:val="00601DB6"/>
    <w:rsid w:val="00602BC0"/>
    <w:rsid w:val="00602FCA"/>
    <w:rsid w:val="0060383D"/>
    <w:rsid w:val="00604AB8"/>
    <w:rsid w:val="0060660C"/>
    <w:rsid w:val="00607B4D"/>
    <w:rsid w:val="006120AA"/>
    <w:rsid w:val="006136EA"/>
    <w:rsid w:val="00614692"/>
    <w:rsid w:val="00614A1B"/>
    <w:rsid w:val="006161E5"/>
    <w:rsid w:val="0061758F"/>
    <w:rsid w:val="00617797"/>
    <w:rsid w:val="00617E0E"/>
    <w:rsid w:val="00620B83"/>
    <w:rsid w:val="00624C9D"/>
    <w:rsid w:val="00624DF0"/>
    <w:rsid w:val="00625D49"/>
    <w:rsid w:val="006275F3"/>
    <w:rsid w:val="006301F3"/>
    <w:rsid w:val="00632CFE"/>
    <w:rsid w:val="0063377A"/>
    <w:rsid w:val="00635819"/>
    <w:rsid w:val="00635C41"/>
    <w:rsid w:val="00636127"/>
    <w:rsid w:val="00636B0E"/>
    <w:rsid w:val="00641112"/>
    <w:rsid w:val="00641534"/>
    <w:rsid w:val="006426EB"/>
    <w:rsid w:val="00643359"/>
    <w:rsid w:val="00644E2D"/>
    <w:rsid w:val="0064628A"/>
    <w:rsid w:val="006462AC"/>
    <w:rsid w:val="006467FF"/>
    <w:rsid w:val="00652470"/>
    <w:rsid w:val="00652805"/>
    <w:rsid w:val="00653061"/>
    <w:rsid w:val="00657BC6"/>
    <w:rsid w:val="0066193E"/>
    <w:rsid w:val="0066445A"/>
    <w:rsid w:val="00674FC8"/>
    <w:rsid w:val="00676257"/>
    <w:rsid w:val="006764DF"/>
    <w:rsid w:val="00677A66"/>
    <w:rsid w:val="006807E9"/>
    <w:rsid w:val="006811C3"/>
    <w:rsid w:val="00681C77"/>
    <w:rsid w:val="006851ED"/>
    <w:rsid w:val="00686621"/>
    <w:rsid w:val="00687102"/>
    <w:rsid w:val="00687215"/>
    <w:rsid w:val="00687543"/>
    <w:rsid w:val="00691648"/>
    <w:rsid w:val="0069407F"/>
    <w:rsid w:val="006A04A1"/>
    <w:rsid w:val="006A19DE"/>
    <w:rsid w:val="006A2D76"/>
    <w:rsid w:val="006A5696"/>
    <w:rsid w:val="006A59BF"/>
    <w:rsid w:val="006B2996"/>
    <w:rsid w:val="006B5324"/>
    <w:rsid w:val="006B5529"/>
    <w:rsid w:val="006C15CE"/>
    <w:rsid w:val="006C6DF4"/>
    <w:rsid w:val="006D1C9A"/>
    <w:rsid w:val="006D4389"/>
    <w:rsid w:val="006D5AB6"/>
    <w:rsid w:val="006D66A3"/>
    <w:rsid w:val="006E05A2"/>
    <w:rsid w:val="006E33BF"/>
    <w:rsid w:val="006E5165"/>
    <w:rsid w:val="006E5391"/>
    <w:rsid w:val="006E53E6"/>
    <w:rsid w:val="006E55D4"/>
    <w:rsid w:val="006E666C"/>
    <w:rsid w:val="006E74E9"/>
    <w:rsid w:val="006F04B0"/>
    <w:rsid w:val="006F1ACE"/>
    <w:rsid w:val="006F29B7"/>
    <w:rsid w:val="006F420A"/>
    <w:rsid w:val="006F5D7F"/>
    <w:rsid w:val="006F6D7B"/>
    <w:rsid w:val="00702209"/>
    <w:rsid w:val="0070264A"/>
    <w:rsid w:val="0070482B"/>
    <w:rsid w:val="00705FDE"/>
    <w:rsid w:val="0070652C"/>
    <w:rsid w:val="007071B8"/>
    <w:rsid w:val="007102D2"/>
    <w:rsid w:val="00711826"/>
    <w:rsid w:val="007118BF"/>
    <w:rsid w:val="00713E09"/>
    <w:rsid w:val="00715FFF"/>
    <w:rsid w:val="00716947"/>
    <w:rsid w:val="00717610"/>
    <w:rsid w:val="00717989"/>
    <w:rsid w:val="007210B3"/>
    <w:rsid w:val="007252E9"/>
    <w:rsid w:val="00726DD0"/>
    <w:rsid w:val="00731CBF"/>
    <w:rsid w:val="00733538"/>
    <w:rsid w:val="00733708"/>
    <w:rsid w:val="00733A08"/>
    <w:rsid w:val="00741520"/>
    <w:rsid w:val="007421DD"/>
    <w:rsid w:val="007423C8"/>
    <w:rsid w:val="0074695E"/>
    <w:rsid w:val="00746C95"/>
    <w:rsid w:val="00747B79"/>
    <w:rsid w:val="00752063"/>
    <w:rsid w:val="0075270C"/>
    <w:rsid w:val="00752BA4"/>
    <w:rsid w:val="007533C2"/>
    <w:rsid w:val="0075531C"/>
    <w:rsid w:val="00755AA7"/>
    <w:rsid w:val="0075635F"/>
    <w:rsid w:val="0075681A"/>
    <w:rsid w:val="00760D58"/>
    <w:rsid w:val="0076125D"/>
    <w:rsid w:val="00761899"/>
    <w:rsid w:val="00762470"/>
    <w:rsid w:val="00763584"/>
    <w:rsid w:val="00763D76"/>
    <w:rsid w:val="0076528C"/>
    <w:rsid w:val="007658A4"/>
    <w:rsid w:val="00766938"/>
    <w:rsid w:val="007676DF"/>
    <w:rsid w:val="00773AF3"/>
    <w:rsid w:val="00775785"/>
    <w:rsid w:val="00775FDB"/>
    <w:rsid w:val="00776B37"/>
    <w:rsid w:val="00781A63"/>
    <w:rsid w:val="00785B8D"/>
    <w:rsid w:val="00790376"/>
    <w:rsid w:val="00790575"/>
    <w:rsid w:val="00792B11"/>
    <w:rsid w:val="00792F97"/>
    <w:rsid w:val="007932B1"/>
    <w:rsid w:val="007943C0"/>
    <w:rsid w:val="007943E5"/>
    <w:rsid w:val="0079510F"/>
    <w:rsid w:val="007965A1"/>
    <w:rsid w:val="00796AB7"/>
    <w:rsid w:val="00797E96"/>
    <w:rsid w:val="007A0C8A"/>
    <w:rsid w:val="007A1CD8"/>
    <w:rsid w:val="007A2BD6"/>
    <w:rsid w:val="007A31F4"/>
    <w:rsid w:val="007A62CF"/>
    <w:rsid w:val="007B0CC8"/>
    <w:rsid w:val="007B17B9"/>
    <w:rsid w:val="007B3D70"/>
    <w:rsid w:val="007B60EB"/>
    <w:rsid w:val="007B7AB8"/>
    <w:rsid w:val="007C0BF2"/>
    <w:rsid w:val="007C1060"/>
    <w:rsid w:val="007C1175"/>
    <w:rsid w:val="007C13D2"/>
    <w:rsid w:val="007D1A2D"/>
    <w:rsid w:val="007D41DC"/>
    <w:rsid w:val="007D49D3"/>
    <w:rsid w:val="007D6336"/>
    <w:rsid w:val="007D653C"/>
    <w:rsid w:val="007E0BDA"/>
    <w:rsid w:val="007E4F60"/>
    <w:rsid w:val="007E6245"/>
    <w:rsid w:val="007E668E"/>
    <w:rsid w:val="007E681A"/>
    <w:rsid w:val="007E73F7"/>
    <w:rsid w:val="007F0BD1"/>
    <w:rsid w:val="007F1854"/>
    <w:rsid w:val="007F327C"/>
    <w:rsid w:val="007F4563"/>
    <w:rsid w:val="00803724"/>
    <w:rsid w:val="00805699"/>
    <w:rsid w:val="008066E3"/>
    <w:rsid w:val="00810935"/>
    <w:rsid w:val="00813D58"/>
    <w:rsid w:val="00816B8B"/>
    <w:rsid w:val="00817976"/>
    <w:rsid w:val="008223CF"/>
    <w:rsid w:val="00823E1E"/>
    <w:rsid w:val="00825CB8"/>
    <w:rsid w:val="008265DB"/>
    <w:rsid w:val="008269EE"/>
    <w:rsid w:val="00831B4E"/>
    <w:rsid w:val="00832B0D"/>
    <w:rsid w:val="00841AC0"/>
    <w:rsid w:val="008425E5"/>
    <w:rsid w:val="00843D70"/>
    <w:rsid w:val="0084571F"/>
    <w:rsid w:val="008459F9"/>
    <w:rsid w:val="00847A4F"/>
    <w:rsid w:val="00850095"/>
    <w:rsid w:val="00850E2F"/>
    <w:rsid w:val="00850FC3"/>
    <w:rsid w:val="008513F0"/>
    <w:rsid w:val="0085303A"/>
    <w:rsid w:val="00853EB9"/>
    <w:rsid w:val="0085467B"/>
    <w:rsid w:val="00854FFB"/>
    <w:rsid w:val="00855E61"/>
    <w:rsid w:val="0085683D"/>
    <w:rsid w:val="00860090"/>
    <w:rsid w:val="008605CC"/>
    <w:rsid w:val="00860688"/>
    <w:rsid w:val="008607AB"/>
    <w:rsid w:val="0086137C"/>
    <w:rsid w:val="008620C4"/>
    <w:rsid w:val="0086218E"/>
    <w:rsid w:val="00862581"/>
    <w:rsid w:val="00862724"/>
    <w:rsid w:val="00863309"/>
    <w:rsid w:val="00865078"/>
    <w:rsid w:val="008654D7"/>
    <w:rsid w:val="00865876"/>
    <w:rsid w:val="00866755"/>
    <w:rsid w:val="00867441"/>
    <w:rsid w:val="00867EE1"/>
    <w:rsid w:val="00870005"/>
    <w:rsid w:val="008710A7"/>
    <w:rsid w:val="0087129D"/>
    <w:rsid w:val="00871B45"/>
    <w:rsid w:val="00871EF2"/>
    <w:rsid w:val="0087224D"/>
    <w:rsid w:val="00873E0B"/>
    <w:rsid w:val="00874306"/>
    <w:rsid w:val="00874F52"/>
    <w:rsid w:val="008757D8"/>
    <w:rsid w:val="008758ED"/>
    <w:rsid w:val="00880C0E"/>
    <w:rsid w:val="008810D7"/>
    <w:rsid w:val="0088197E"/>
    <w:rsid w:val="00882834"/>
    <w:rsid w:val="008839AF"/>
    <w:rsid w:val="008841A6"/>
    <w:rsid w:val="00884E54"/>
    <w:rsid w:val="008878DA"/>
    <w:rsid w:val="00887B0C"/>
    <w:rsid w:val="0089394B"/>
    <w:rsid w:val="00896661"/>
    <w:rsid w:val="00896C10"/>
    <w:rsid w:val="008A1526"/>
    <w:rsid w:val="008A19E0"/>
    <w:rsid w:val="008A3162"/>
    <w:rsid w:val="008A5147"/>
    <w:rsid w:val="008A60DE"/>
    <w:rsid w:val="008A6144"/>
    <w:rsid w:val="008A6B71"/>
    <w:rsid w:val="008A6F97"/>
    <w:rsid w:val="008B02C5"/>
    <w:rsid w:val="008B0C04"/>
    <w:rsid w:val="008B10AD"/>
    <w:rsid w:val="008B142D"/>
    <w:rsid w:val="008B3136"/>
    <w:rsid w:val="008B4513"/>
    <w:rsid w:val="008B5EFD"/>
    <w:rsid w:val="008B5FF9"/>
    <w:rsid w:val="008B74DB"/>
    <w:rsid w:val="008C5C34"/>
    <w:rsid w:val="008C6981"/>
    <w:rsid w:val="008C74FD"/>
    <w:rsid w:val="008C7769"/>
    <w:rsid w:val="008C77DC"/>
    <w:rsid w:val="008C7A0A"/>
    <w:rsid w:val="008D02C0"/>
    <w:rsid w:val="008D4A93"/>
    <w:rsid w:val="008D54FF"/>
    <w:rsid w:val="008D6845"/>
    <w:rsid w:val="008E437B"/>
    <w:rsid w:val="008E49A3"/>
    <w:rsid w:val="008E7163"/>
    <w:rsid w:val="008F0CCE"/>
    <w:rsid w:val="008F1703"/>
    <w:rsid w:val="008F2BEE"/>
    <w:rsid w:val="008F4595"/>
    <w:rsid w:val="008F4FFA"/>
    <w:rsid w:val="008F6599"/>
    <w:rsid w:val="008F65F4"/>
    <w:rsid w:val="008F67AB"/>
    <w:rsid w:val="0090025D"/>
    <w:rsid w:val="00902880"/>
    <w:rsid w:val="00905608"/>
    <w:rsid w:val="00905A98"/>
    <w:rsid w:val="009071B9"/>
    <w:rsid w:val="009077AE"/>
    <w:rsid w:val="0091086F"/>
    <w:rsid w:val="009108F8"/>
    <w:rsid w:val="00911A27"/>
    <w:rsid w:val="00912A11"/>
    <w:rsid w:val="00917169"/>
    <w:rsid w:val="00920657"/>
    <w:rsid w:val="00920802"/>
    <w:rsid w:val="0092191A"/>
    <w:rsid w:val="00922301"/>
    <w:rsid w:val="009229B4"/>
    <w:rsid w:val="00924D99"/>
    <w:rsid w:val="00925036"/>
    <w:rsid w:val="0092788B"/>
    <w:rsid w:val="00927AB3"/>
    <w:rsid w:val="0093045D"/>
    <w:rsid w:val="00930E24"/>
    <w:rsid w:val="00931EB3"/>
    <w:rsid w:val="0093239B"/>
    <w:rsid w:val="00933CB0"/>
    <w:rsid w:val="00935018"/>
    <w:rsid w:val="0093537F"/>
    <w:rsid w:val="00935671"/>
    <w:rsid w:val="009363EF"/>
    <w:rsid w:val="00936CB5"/>
    <w:rsid w:val="00936EEA"/>
    <w:rsid w:val="00937375"/>
    <w:rsid w:val="0093738B"/>
    <w:rsid w:val="00937706"/>
    <w:rsid w:val="0094023D"/>
    <w:rsid w:val="00942FDF"/>
    <w:rsid w:val="0094331B"/>
    <w:rsid w:val="00944962"/>
    <w:rsid w:val="00944DC0"/>
    <w:rsid w:val="00945789"/>
    <w:rsid w:val="009459AC"/>
    <w:rsid w:val="00946AF7"/>
    <w:rsid w:val="00954452"/>
    <w:rsid w:val="00957B36"/>
    <w:rsid w:val="00957B6D"/>
    <w:rsid w:val="0096009F"/>
    <w:rsid w:val="00960709"/>
    <w:rsid w:val="00960CDF"/>
    <w:rsid w:val="00961427"/>
    <w:rsid w:val="00961808"/>
    <w:rsid w:val="00964CB3"/>
    <w:rsid w:val="00965E99"/>
    <w:rsid w:val="009661E8"/>
    <w:rsid w:val="0096696A"/>
    <w:rsid w:val="00966E39"/>
    <w:rsid w:val="00970C45"/>
    <w:rsid w:val="009711DE"/>
    <w:rsid w:val="00971325"/>
    <w:rsid w:val="0097389E"/>
    <w:rsid w:val="00974ABC"/>
    <w:rsid w:val="00977E85"/>
    <w:rsid w:val="00980401"/>
    <w:rsid w:val="00980C39"/>
    <w:rsid w:val="009829DC"/>
    <w:rsid w:val="00984B3D"/>
    <w:rsid w:val="009859E1"/>
    <w:rsid w:val="009868A3"/>
    <w:rsid w:val="00990DC4"/>
    <w:rsid w:val="009920F3"/>
    <w:rsid w:val="009927DE"/>
    <w:rsid w:val="00994D07"/>
    <w:rsid w:val="009959DA"/>
    <w:rsid w:val="00995EC8"/>
    <w:rsid w:val="009A033B"/>
    <w:rsid w:val="009A1134"/>
    <w:rsid w:val="009A1C6F"/>
    <w:rsid w:val="009A5984"/>
    <w:rsid w:val="009A5B2D"/>
    <w:rsid w:val="009A6535"/>
    <w:rsid w:val="009B01BB"/>
    <w:rsid w:val="009B141C"/>
    <w:rsid w:val="009B5FCC"/>
    <w:rsid w:val="009B66E5"/>
    <w:rsid w:val="009B6705"/>
    <w:rsid w:val="009C0516"/>
    <w:rsid w:val="009C0EBC"/>
    <w:rsid w:val="009C268B"/>
    <w:rsid w:val="009C2F32"/>
    <w:rsid w:val="009C36B1"/>
    <w:rsid w:val="009C4266"/>
    <w:rsid w:val="009D026B"/>
    <w:rsid w:val="009D16AF"/>
    <w:rsid w:val="009D7475"/>
    <w:rsid w:val="009E0279"/>
    <w:rsid w:val="009E409F"/>
    <w:rsid w:val="009E72DC"/>
    <w:rsid w:val="009F09D1"/>
    <w:rsid w:val="009F309A"/>
    <w:rsid w:val="009F3E38"/>
    <w:rsid w:val="009F448B"/>
    <w:rsid w:val="009F5EF8"/>
    <w:rsid w:val="009F63FE"/>
    <w:rsid w:val="009F7296"/>
    <w:rsid w:val="009F7C75"/>
    <w:rsid w:val="00A00414"/>
    <w:rsid w:val="00A02A90"/>
    <w:rsid w:val="00A037CA"/>
    <w:rsid w:val="00A0512D"/>
    <w:rsid w:val="00A07895"/>
    <w:rsid w:val="00A10131"/>
    <w:rsid w:val="00A12FDF"/>
    <w:rsid w:val="00A16038"/>
    <w:rsid w:val="00A17574"/>
    <w:rsid w:val="00A20345"/>
    <w:rsid w:val="00A207D4"/>
    <w:rsid w:val="00A2162E"/>
    <w:rsid w:val="00A223F6"/>
    <w:rsid w:val="00A22F50"/>
    <w:rsid w:val="00A23635"/>
    <w:rsid w:val="00A23772"/>
    <w:rsid w:val="00A2460E"/>
    <w:rsid w:val="00A250EC"/>
    <w:rsid w:val="00A27046"/>
    <w:rsid w:val="00A30C54"/>
    <w:rsid w:val="00A3349F"/>
    <w:rsid w:val="00A37E92"/>
    <w:rsid w:val="00A400D0"/>
    <w:rsid w:val="00A4104E"/>
    <w:rsid w:val="00A415B6"/>
    <w:rsid w:val="00A41D1B"/>
    <w:rsid w:val="00A42A56"/>
    <w:rsid w:val="00A4632C"/>
    <w:rsid w:val="00A4653C"/>
    <w:rsid w:val="00A46733"/>
    <w:rsid w:val="00A46A13"/>
    <w:rsid w:val="00A46AC7"/>
    <w:rsid w:val="00A4706B"/>
    <w:rsid w:val="00A503CD"/>
    <w:rsid w:val="00A511B7"/>
    <w:rsid w:val="00A51D16"/>
    <w:rsid w:val="00A51F95"/>
    <w:rsid w:val="00A52111"/>
    <w:rsid w:val="00A52DB3"/>
    <w:rsid w:val="00A564D1"/>
    <w:rsid w:val="00A57EA1"/>
    <w:rsid w:val="00A6373E"/>
    <w:rsid w:val="00A63AF7"/>
    <w:rsid w:val="00A66702"/>
    <w:rsid w:val="00A66A20"/>
    <w:rsid w:val="00A67057"/>
    <w:rsid w:val="00A703C6"/>
    <w:rsid w:val="00A70832"/>
    <w:rsid w:val="00A70AAF"/>
    <w:rsid w:val="00A70C3D"/>
    <w:rsid w:val="00A7108C"/>
    <w:rsid w:val="00A71729"/>
    <w:rsid w:val="00A721AE"/>
    <w:rsid w:val="00A7314D"/>
    <w:rsid w:val="00A75565"/>
    <w:rsid w:val="00A75BE1"/>
    <w:rsid w:val="00A767E3"/>
    <w:rsid w:val="00A767F5"/>
    <w:rsid w:val="00A76F75"/>
    <w:rsid w:val="00A80B11"/>
    <w:rsid w:val="00A81B6A"/>
    <w:rsid w:val="00A81E70"/>
    <w:rsid w:val="00A831B3"/>
    <w:rsid w:val="00A83650"/>
    <w:rsid w:val="00A854FA"/>
    <w:rsid w:val="00A87379"/>
    <w:rsid w:val="00A90B7C"/>
    <w:rsid w:val="00A91337"/>
    <w:rsid w:val="00A9404E"/>
    <w:rsid w:val="00A94C77"/>
    <w:rsid w:val="00A95C36"/>
    <w:rsid w:val="00A97504"/>
    <w:rsid w:val="00A97D63"/>
    <w:rsid w:val="00A97ED0"/>
    <w:rsid w:val="00AA0213"/>
    <w:rsid w:val="00AA05E1"/>
    <w:rsid w:val="00AA2DC9"/>
    <w:rsid w:val="00AA3456"/>
    <w:rsid w:val="00AA5022"/>
    <w:rsid w:val="00AA576C"/>
    <w:rsid w:val="00AA6B62"/>
    <w:rsid w:val="00AA7430"/>
    <w:rsid w:val="00AB2DCE"/>
    <w:rsid w:val="00AB50C9"/>
    <w:rsid w:val="00AB6535"/>
    <w:rsid w:val="00AC1B84"/>
    <w:rsid w:val="00AC2D20"/>
    <w:rsid w:val="00AC2FAC"/>
    <w:rsid w:val="00AC3A77"/>
    <w:rsid w:val="00AC5DEC"/>
    <w:rsid w:val="00AC60CB"/>
    <w:rsid w:val="00AC6950"/>
    <w:rsid w:val="00AC6C2E"/>
    <w:rsid w:val="00AC7372"/>
    <w:rsid w:val="00AD03AF"/>
    <w:rsid w:val="00AD0B95"/>
    <w:rsid w:val="00AD12A1"/>
    <w:rsid w:val="00AD31FE"/>
    <w:rsid w:val="00AD33AC"/>
    <w:rsid w:val="00AD64B4"/>
    <w:rsid w:val="00AD6971"/>
    <w:rsid w:val="00AD7466"/>
    <w:rsid w:val="00AE1325"/>
    <w:rsid w:val="00AE14D6"/>
    <w:rsid w:val="00AE2751"/>
    <w:rsid w:val="00AE2D03"/>
    <w:rsid w:val="00AE3F2F"/>
    <w:rsid w:val="00AE52FF"/>
    <w:rsid w:val="00AE7560"/>
    <w:rsid w:val="00AF6903"/>
    <w:rsid w:val="00B002AD"/>
    <w:rsid w:val="00B03975"/>
    <w:rsid w:val="00B0562A"/>
    <w:rsid w:val="00B05D0C"/>
    <w:rsid w:val="00B05F37"/>
    <w:rsid w:val="00B06EA2"/>
    <w:rsid w:val="00B10693"/>
    <w:rsid w:val="00B10B23"/>
    <w:rsid w:val="00B1324F"/>
    <w:rsid w:val="00B14163"/>
    <w:rsid w:val="00B159C6"/>
    <w:rsid w:val="00B15A75"/>
    <w:rsid w:val="00B16B91"/>
    <w:rsid w:val="00B16F22"/>
    <w:rsid w:val="00B20441"/>
    <w:rsid w:val="00B20DC9"/>
    <w:rsid w:val="00B219FC"/>
    <w:rsid w:val="00B24807"/>
    <w:rsid w:val="00B25B3C"/>
    <w:rsid w:val="00B2643B"/>
    <w:rsid w:val="00B26ACF"/>
    <w:rsid w:val="00B27202"/>
    <w:rsid w:val="00B2793F"/>
    <w:rsid w:val="00B27CAF"/>
    <w:rsid w:val="00B30BFC"/>
    <w:rsid w:val="00B30CA9"/>
    <w:rsid w:val="00B3118B"/>
    <w:rsid w:val="00B3172B"/>
    <w:rsid w:val="00B317F0"/>
    <w:rsid w:val="00B34C22"/>
    <w:rsid w:val="00B3700E"/>
    <w:rsid w:val="00B3753C"/>
    <w:rsid w:val="00B409F1"/>
    <w:rsid w:val="00B412B4"/>
    <w:rsid w:val="00B42D01"/>
    <w:rsid w:val="00B43732"/>
    <w:rsid w:val="00B46519"/>
    <w:rsid w:val="00B46B7F"/>
    <w:rsid w:val="00B46CF2"/>
    <w:rsid w:val="00B470DB"/>
    <w:rsid w:val="00B4778E"/>
    <w:rsid w:val="00B4791E"/>
    <w:rsid w:val="00B50F81"/>
    <w:rsid w:val="00B51255"/>
    <w:rsid w:val="00B520A7"/>
    <w:rsid w:val="00B5327B"/>
    <w:rsid w:val="00B543E7"/>
    <w:rsid w:val="00B5446A"/>
    <w:rsid w:val="00B54DD8"/>
    <w:rsid w:val="00B54FFD"/>
    <w:rsid w:val="00B56CBE"/>
    <w:rsid w:val="00B56D1E"/>
    <w:rsid w:val="00B56D5B"/>
    <w:rsid w:val="00B57F2B"/>
    <w:rsid w:val="00B61C37"/>
    <w:rsid w:val="00B62BEC"/>
    <w:rsid w:val="00B63D06"/>
    <w:rsid w:val="00B63E32"/>
    <w:rsid w:val="00B65703"/>
    <w:rsid w:val="00B70BCB"/>
    <w:rsid w:val="00B7358B"/>
    <w:rsid w:val="00B74573"/>
    <w:rsid w:val="00B748D4"/>
    <w:rsid w:val="00B75B99"/>
    <w:rsid w:val="00B75D87"/>
    <w:rsid w:val="00B80581"/>
    <w:rsid w:val="00B80A23"/>
    <w:rsid w:val="00B82EFC"/>
    <w:rsid w:val="00B852AF"/>
    <w:rsid w:val="00B863C5"/>
    <w:rsid w:val="00B87FA2"/>
    <w:rsid w:val="00B917F4"/>
    <w:rsid w:val="00B91976"/>
    <w:rsid w:val="00B91FD6"/>
    <w:rsid w:val="00B929D7"/>
    <w:rsid w:val="00B93B89"/>
    <w:rsid w:val="00B951C2"/>
    <w:rsid w:val="00B9553D"/>
    <w:rsid w:val="00B966C2"/>
    <w:rsid w:val="00B970F1"/>
    <w:rsid w:val="00B9795F"/>
    <w:rsid w:val="00B97AFF"/>
    <w:rsid w:val="00BA08A4"/>
    <w:rsid w:val="00BA373A"/>
    <w:rsid w:val="00BA3857"/>
    <w:rsid w:val="00BA3B48"/>
    <w:rsid w:val="00BA671F"/>
    <w:rsid w:val="00BA79E3"/>
    <w:rsid w:val="00BB1B79"/>
    <w:rsid w:val="00BB1EBB"/>
    <w:rsid w:val="00BB308D"/>
    <w:rsid w:val="00BB46C8"/>
    <w:rsid w:val="00BB6EE4"/>
    <w:rsid w:val="00BB74E2"/>
    <w:rsid w:val="00BB7666"/>
    <w:rsid w:val="00BB7D22"/>
    <w:rsid w:val="00BC0D12"/>
    <w:rsid w:val="00BC146F"/>
    <w:rsid w:val="00BC1821"/>
    <w:rsid w:val="00BC1F78"/>
    <w:rsid w:val="00BC3C27"/>
    <w:rsid w:val="00BC5D3A"/>
    <w:rsid w:val="00BC616F"/>
    <w:rsid w:val="00BC6E6C"/>
    <w:rsid w:val="00BC6FC2"/>
    <w:rsid w:val="00BC7267"/>
    <w:rsid w:val="00BD0C6B"/>
    <w:rsid w:val="00BD5C24"/>
    <w:rsid w:val="00BD5C75"/>
    <w:rsid w:val="00BD6EFE"/>
    <w:rsid w:val="00BE00E7"/>
    <w:rsid w:val="00BE01E4"/>
    <w:rsid w:val="00BE1238"/>
    <w:rsid w:val="00BE2CF0"/>
    <w:rsid w:val="00BF2C4F"/>
    <w:rsid w:val="00BF4755"/>
    <w:rsid w:val="00BF593D"/>
    <w:rsid w:val="00BF60BD"/>
    <w:rsid w:val="00BF7D1F"/>
    <w:rsid w:val="00C016D1"/>
    <w:rsid w:val="00C02A74"/>
    <w:rsid w:val="00C0322E"/>
    <w:rsid w:val="00C032E9"/>
    <w:rsid w:val="00C04428"/>
    <w:rsid w:val="00C047FE"/>
    <w:rsid w:val="00C063C8"/>
    <w:rsid w:val="00C067AE"/>
    <w:rsid w:val="00C06C91"/>
    <w:rsid w:val="00C10698"/>
    <w:rsid w:val="00C136C4"/>
    <w:rsid w:val="00C138CF"/>
    <w:rsid w:val="00C14DBE"/>
    <w:rsid w:val="00C14F05"/>
    <w:rsid w:val="00C1576A"/>
    <w:rsid w:val="00C161B6"/>
    <w:rsid w:val="00C16B89"/>
    <w:rsid w:val="00C20229"/>
    <w:rsid w:val="00C21E9D"/>
    <w:rsid w:val="00C221C2"/>
    <w:rsid w:val="00C22E94"/>
    <w:rsid w:val="00C22F80"/>
    <w:rsid w:val="00C23741"/>
    <w:rsid w:val="00C27085"/>
    <w:rsid w:val="00C272F7"/>
    <w:rsid w:val="00C31B2A"/>
    <w:rsid w:val="00C32577"/>
    <w:rsid w:val="00C328A1"/>
    <w:rsid w:val="00C339E6"/>
    <w:rsid w:val="00C34FBA"/>
    <w:rsid w:val="00C36D76"/>
    <w:rsid w:val="00C37C6C"/>
    <w:rsid w:val="00C40FAD"/>
    <w:rsid w:val="00C41731"/>
    <w:rsid w:val="00C41761"/>
    <w:rsid w:val="00C41F70"/>
    <w:rsid w:val="00C421EB"/>
    <w:rsid w:val="00C429A1"/>
    <w:rsid w:val="00C42E68"/>
    <w:rsid w:val="00C4387F"/>
    <w:rsid w:val="00C44285"/>
    <w:rsid w:val="00C469D3"/>
    <w:rsid w:val="00C47853"/>
    <w:rsid w:val="00C510C4"/>
    <w:rsid w:val="00C51794"/>
    <w:rsid w:val="00C519A9"/>
    <w:rsid w:val="00C52580"/>
    <w:rsid w:val="00C53C3D"/>
    <w:rsid w:val="00C5532E"/>
    <w:rsid w:val="00C60014"/>
    <w:rsid w:val="00C647C5"/>
    <w:rsid w:val="00C65C98"/>
    <w:rsid w:val="00C666D5"/>
    <w:rsid w:val="00C67EFD"/>
    <w:rsid w:val="00C67FC0"/>
    <w:rsid w:val="00C7023A"/>
    <w:rsid w:val="00C73D4D"/>
    <w:rsid w:val="00C74D98"/>
    <w:rsid w:val="00C75C7D"/>
    <w:rsid w:val="00C778B1"/>
    <w:rsid w:val="00C81CD4"/>
    <w:rsid w:val="00C82A16"/>
    <w:rsid w:val="00C82B87"/>
    <w:rsid w:val="00C85C70"/>
    <w:rsid w:val="00C864FE"/>
    <w:rsid w:val="00C90AF7"/>
    <w:rsid w:val="00C91002"/>
    <w:rsid w:val="00C9300D"/>
    <w:rsid w:val="00C93F07"/>
    <w:rsid w:val="00C95BCB"/>
    <w:rsid w:val="00C96FDA"/>
    <w:rsid w:val="00C97EC7"/>
    <w:rsid w:val="00CA1655"/>
    <w:rsid w:val="00CA3B25"/>
    <w:rsid w:val="00CB0676"/>
    <w:rsid w:val="00CB2054"/>
    <w:rsid w:val="00CB2BF2"/>
    <w:rsid w:val="00CB3CDB"/>
    <w:rsid w:val="00CB543A"/>
    <w:rsid w:val="00CB5EB0"/>
    <w:rsid w:val="00CB68CC"/>
    <w:rsid w:val="00CB7830"/>
    <w:rsid w:val="00CC3D02"/>
    <w:rsid w:val="00CC4610"/>
    <w:rsid w:val="00CC49D8"/>
    <w:rsid w:val="00CC4ACA"/>
    <w:rsid w:val="00CC7CA0"/>
    <w:rsid w:val="00CD0F35"/>
    <w:rsid w:val="00CD21E5"/>
    <w:rsid w:val="00CD237C"/>
    <w:rsid w:val="00CD23B1"/>
    <w:rsid w:val="00CD274B"/>
    <w:rsid w:val="00CD471C"/>
    <w:rsid w:val="00CD4A2A"/>
    <w:rsid w:val="00CD4F02"/>
    <w:rsid w:val="00CD56A4"/>
    <w:rsid w:val="00CD689A"/>
    <w:rsid w:val="00CD7461"/>
    <w:rsid w:val="00CE12A9"/>
    <w:rsid w:val="00CE21C9"/>
    <w:rsid w:val="00CE3730"/>
    <w:rsid w:val="00CE377B"/>
    <w:rsid w:val="00CE56C7"/>
    <w:rsid w:val="00CE6007"/>
    <w:rsid w:val="00CF0DF5"/>
    <w:rsid w:val="00CF1A02"/>
    <w:rsid w:val="00CF2127"/>
    <w:rsid w:val="00CF29B7"/>
    <w:rsid w:val="00CF3DB4"/>
    <w:rsid w:val="00CF498A"/>
    <w:rsid w:val="00CF4AA9"/>
    <w:rsid w:val="00CF5A87"/>
    <w:rsid w:val="00D0098F"/>
    <w:rsid w:val="00D01B67"/>
    <w:rsid w:val="00D053DB"/>
    <w:rsid w:val="00D054D2"/>
    <w:rsid w:val="00D068D6"/>
    <w:rsid w:val="00D07300"/>
    <w:rsid w:val="00D10D38"/>
    <w:rsid w:val="00D1123E"/>
    <w:rsid w:val="00D1196E"/>
    <w:rsid w:val="00D12589"/>
    <w:rsid w:val="00D12C25"/>
    <w:rsid w:val="00D13744"/>
    <w:rsid w:val="00D14E74"/>
    <w:rsid w:val="00D1599D"/>
    <w:rsid w:val="00D16EC7"/>
    <w:rsid w:val="00D1739C"/>
    <w:rsid w:val="00D2231B"/>
    <w:rsid w:val="00D239DB"/>
    <w:rsid w:val="00D239DD"/>
    <w:rsid w:val="00D25333"/>
    <w:rsid w:val="00D27FDA"/>
    <w:rsid w:val="00D304EC"/>
    <w:rsid w:val="00D31056"/>
    <w:rsid w:val="00D316C5"/>
    <w:rsid w:val="00D3357B"/>
    <w:rsid w:val="00D33C92"/>
    <w:rsid w:val="00D354EE"/>
    <w:rsid w:val="00D44102"/>
    <w:rsid w:val="00D4449D"/>
    <w:rsid w:val="00D4469A"/>
    <w:rsid w:val="00D4473B"/>
    <w:rsid w:val="00D452D6"/>
    <w:rsid w:val="00D4700A"/>
    <w:rsid w:val="00D47538"/>
    <w:rsid w:val="00D47593"/>
    <w:rsid w:val="00D476A8"/>
    <w:rsid w:val="00D47955"/>
    <w:rsid w:val="00D50B2B"/>
    <w:rsid w:val="00D50B45"/>
    <w:rsid w:val="00D510CF"/>
    <w:rsid w:val="00D51A15"/>
    <w:rsid w:val="00D5378E"/>
    <w:rsid w:val="00D53A45"/>
    <w:rsid w:val="00D53CB3"/>
    <w:rsid w:val="00D53EAF"/>
    <w:rsid w:val="00D549E4"/>
    <w:rsid w:val="00D62814"/>
    <w:rsid w:val="00D6433F"/>
    <w:rsid w:val="00D670FF"/>
    <w:rsid w:val="00D676FD"/>
    <w:rsid w:val="00D70E15"/>
    <w:rsid w:val="00D713D1"/>
    <w:rsid w:val="00D716B2"/>
    <w:rsid w:val="00D71867"/>
    <w:rsid w:val="00D73645"/>
    <w:rsid w:val="00D738C9"/>
    <w:rsid w:val="00D74A63"/>
    <w:rsid w:val="00D76B3F"/>
    <w:rsid w:val="00D77C32"/>
    <w:rsid w:val="00D814E8"/>
    <w:rsid w:val="00D81C82"/>
    <w:rsid w:val="00D829AF"/>
    <w:rsid w:val="00D85488"/>
    <w:rsid w:val="00D87515"/>
    <w:rsid w:val="00D90D1B"/>
    <w:rsid w:val="00D93900"/>
    <w:rsid w:val="00D95540"/>
    <w:rsid w:val="00D958C7"/>
    <w:rsid w:val="00DA00B3"/>
    <w:rsid w:val="00DA0A3F"/>
    <w:rsid w:val="00DA1996"/>
    <w:rsid w:val="00DA2C54"/>
    <w:rsid w:val="00DA2CDE"/>
    <w:rsid w:val="00DA3439"/>
    <w:rsid w:val="00DA7D07"/>
    <w:rsid w:val="00DB2B23"/>
    <w:rsid w:val="00DB3947"/>
    <w:rsid w:val="00DB4D29"/>
    <w:rsid w:val="00DB5705"/>
    <w:rsid w:val="00DB6079"/>
    <w:rsid w:val="00DB6699"/>
    <w:rsid w:val="00DB6CAE"/>
    <w:rsid w:val="00DB7A9D"/>
    <w:rsid w:val="00DC12B3"/>
    <w:rsid w:val="00DC1F91"/>
    <w:rsid w:val="00DC5886"/>
    <w:rsid w:val="00DC5F86"/>
    <w:rsid w:val="00DC6F14"/>
    <w:rsid w:val="00DD077B"/>
    <w:rsid w:val="00DD0A91"/>
    <w:rsid w:val="00DD1C21"/>
    <w:rsid w:val="00DD2068"/>
    <w:rsid w:val="00DD5CF2"/>
    <w:rsid w:val="00DD709D"/>
    <w:rsid w:val="00DE4027"/>
    <w:rsid w:val="00DE5AFA"/>
    <w:rsid w:val="00DE6132"/>
    <w:rsid w:val="00DF443B"/>
    <w:rsid w:val="00DF47AB"/>
    <w:rsid w:val="00DF57B8"/>
    <w:rsid w:val="00DF6681"/>
    <w:rsid w:val="00DF78E7"/>
    <w:rsid w:val="00E02980"/>
    <w:rsid w:val="00E03A41"/>
    <w:rsid w:val="00E050FB"/>
    <w:rsid w:val="00E0609C"/>
    <w:rsid w:val="00E06687"/>
    <w:rsid w:val="00E07ACF"/>
    <w:rsid w:val="00E101E6"/>
    <w:rsid w:val="00E1107A"/>
    <w:rsid w:val="00E110D2"/>
    <w:rsid w:val="00E12112"/>
    <w:rsid w:val="00E205F5"/>
    <w:rsid w:val="00E21803"/>
    <w:rsid w:val="00E2271D"/>
    <w:rsid w:val="00E235B1"/>
    <w:rsid w:val="00E25222"/>
    <w:rsid w:val="00E26418"/>
    <w:rsid w:val="00E265E7"/>
    <w:rsid w:val="00E30610"/>
    <w:rsid w:val="00E34AC6"/>
    <w:rsid w:val="00E35EB5"/>
    <w:rsid w:val="00E36372"/>
    <w:rsid w:val="00E36F46"/>
    <w:rsid w:val="00E373ED"/>
    <w:rsid w:val="00E43EEA"/>
    <w:rsid w:val="00E444F5"/>
    <w:rsid w:val="00E4631A"/>
    <w:rsid w:val="00E50819"/>
    <w:rsid w:val="00E51274"/>
    <w:rsid w:val="00E540C6"/>
    <w:rsid w:val="00E54BE4"/>
    <w:rsid w:val="00E55A15"/>
    <w:rsid w:val="00E61B65"/>
    <w:rsid w:val="00E6234E"/>
    <w:rsid w:val="00E636FF"/>
    <w:rsid w:val="00E64103"/>
    <w:rsid w:val="00E64435"/>
    <w:rsid w:val="00E6591C"/>
    <w:rsid w:val="00E71752"/>
    <w:rsid w:val="00E71D9A"/>
    <w:rsid w:val="00E75363"/>
    <w:rsid w:val="00E76C4F"/>
    <w:rsid w:val="00E76CEF"/>
    <w:rsid w:val="00E76F48"/>
    <w:rsid w:val="00E80698"/>
    <w:rsid w:val="00E84FBC"/>
    <w:rsid w:val="00E859B7"/>
    <w:rsid w:val="00E90E22"/>
    <w:rsid w:val="00E9134E"/>
    <w:rsid w:val="00E930CB"/>
    <w:rsid w:val="00E94553"/>
    <w:rsid w:val="00E966ED"/>
    <w:rsid w:val="00E970FC"/>
    <w:rsid w:val="00EA052D"/>
    <w:rsid w:val="00EA1A46"/>
    <w:rsid w:val="00EA3CF0"/>
    <w:rsid w:val="00EA5925"/>
    <w:rsid w:val="00EA603B"/>
    <w:rsid w:val="00EB19EC"/>
    <w:rsid w:val="00EB27B2"/>
    <w:rsid w:val="00EB31B1"/>
    <w:rsid w:val="00EB3745"/>
    <w:rsid w:val="00EB66B3"/>
    <w:rsid w:val="00EB6E93"/>
    <w:rsid w:val="00EC1A7B"/>
    <w:rsid w:val="00EC1C37"/>
    <w:rsid w:val="00EC2623"/>
    <w:rsid w:val="00EC384E"/>
    <w:rsid w:val="00EC3A4D"/>
    <w:rsid w:val="00EC69E5"/>
    <w:rsid w:val="00ED0019"/>
    <w:rsid w:val="00ED09D9"/>
    <w:rsid w:val="00ED156D"/>
    <w:rsid w:val="00ED3CAB"/>
    <w:rsid w:val="00ED4EDA"/>
    <w:rsid w:val="00ED6C7E"/>
    <w:rsid w:val="00ED6E4E"/>
    <w:rsid w:val="00EE1CD1"/>
    <w:rsid w:val="00EE3063"/>
    <w:rsid w:val="00EE35E4"/>
    <w:rsid w:val="00EE389A"/>
    <w:rsid w:val="00EE5551"/>
    <w:rsid w:val="00EE6A74"/>
    <w:rsid w:val="00EE7CF3"/>
    <w:rsid w:val="00EF0F59"/>
    <w:rsid w:val="00EF474E"/>
    <w:rsid w:val="00EF5190"/>
    <w:rsid w:val="00EF662E"/>
    <w:rsid w:val="00F00DE4"/>
    <w:rsid w:val="00F01684"/>
    <w:rsid w:val="00F01CA8"/>
    <w:rsid w:val="00F02778"/>
    <w:rsid w:val="00F02B00"/>
    <w:rsid w:val="00F07E44"/>
    <w:rsid w:val="00F13BF3"/>
    <w:rsid w:val="00F13EF6"/>
    <w:rsid w:val="00F14763"/>
    <w:rsid w:val="00F16CDE"/>
    <w:rsid w:val="00F179E9"/>
    <w:rsid w:val="00F2083F"/>
    <w:rsid w:val="00F2151C"/>
    <w:rsid w:val="00F21758"/>
    <w:rsid w:val="00F231D7"/>
    <w:rsid w:val="00F2613E"/>
    <w:rsid w:val="00F3118E"/>
    <w:rsid w:val="00F31B6C"/>
    <w:rsid w:val="00F3446D"/>
    <w:rsid w:val="00F34505"/>
    <w:rsid w:val="00F34611"/>
    <w:rsid w:val="00F34B92"/>
    <w:rsid w:val="00F41909"/>
    <w:rsid w:val="00F41AC6"/>
    <w:rsid w:val="00F428AD"/>
    <w:rsid w:val="00F516F5"/>
    <w:rsid w:val="00F544C9"/>
    <w:rsid w:val="00F617BE"/>
    <w:rsid w:val="00F61863"/>
    <w:rsid w:val="00F61A94"/>
    <w:rsid w:val="00F6232A"/>
    <w:rsid w:val="00F63724"/>
    <w:rsid w:val="00F63EBB"/>
    <w:rsid w:val="00F63F38"/>
    <w:rsid w:val="00F65843"/>
    <w:rsid w:val="00F6783E"/>
    <w:rsid w:val="00F70A8A"/>
    <w:rsid w:val="00F717DC"/>
    <w:rsid w:val="00F71DB7"/>
    <w:rsid w:val="00F72AC1"/>
    <w:rsid w:val="00F73210"/>
    <w:rsid w:val="00F76230"/>
    <w:rsid w:val="00F769B4"/>
    <w:rsid w:val="00F803AC"/>
    <w:rsid w:val="00F80CAA"/>
    <w:rsid w:val="00F81023"/>
    <w:rsid w:val="00F820A8"/>
    <w:rsid w:val="00F82182"/>
    <w:rsid w:val="00F83A5D"/>
    <w:rsid w:val="00F83CD8"/>
    <w:rsid w:val="00F845C6"/>
    <w:rsid w:val="00F850A2"/>
    <w:rsid w:val="00F86CDB"/>
    <w:rsid w:val="00F87E4E"/>
    <w:rsid w:val="00F90F18"/>
    <w:rsid w:val="00F92F4B"/>
    <w:rsid w:val="00F97A95"/>
    <w:rsid w:val="00FA0505"/>
    <w:rsid w:val="00FA10D8"/>
    <w:rsid w:val="00FA240F"/>
    <w:rsid w:val="00FA28C5"/>
    <w:rsid w:val="00FA300F"/>
    <w:rsid w:val="00FA4C8E"/>
    <w:rsid w:val="00FA61FD"/>
    <w:rsid w:val="00FA68AF"/>
    <w:rsid w:val="00FA6B89"/>
    <w:rsid w:val="00FA7234"/>
    <w:rsid w:val="00FA7461"/>
    <w:rsid w:val="00FB030C"/>
    <w:rsid w:val="00FB08B8"/>
    <w:rsid w:val="00FB0A5C"/>
    <w:rsid w:val="00FB1553"/>
    <w:rsid w:val="00FB1C7F"/>
    <w:rsid w:val="00FB3954"/>
    <w:rsid w:val="00FB3A1E"/>
    <w:rsid w:val="00FB42F8"/>
    <w:rsid w:val="00FB5346"/>
    <w:rsid w:val="00FB631C"/>
    <w:rsid w:val="00FB7C11"/>
    <w:rsid w:val="00FC05D3"/>
    <w:rsid w:val="00FC0B54"/>
    <w:rsid w:val="00FC0C8B"/>
    <w:rsid w:val="00FC109D"/>
    <w:rsid w:val="00FD1F79"/>
    <w:rsid w:val="00FD226E"/>
    <w:rsid w:val="00FD2D5B"/>
    <w:rsid w:val="00FD32FF"/>
    <w:rsid w:val="00FE0F92"/>
    <w:rsid w:val="00FE4B24"/>
    <w:rsid w:val="00FE4DF5"/>
    <w:rsid w:val="00FE50FE"/>
    <w:rsid w:val="00FF12EE"/>
    <w:rsid w:val="00FF1F25"/>
    <w:rsid w:val="00FF2B3A"/>
    <w:rsid w:val="00FF3109"/>
    <w:rsid w:val="00FF315C"/>
    <w:rsid w:val="00FF3D42"/>
    <w:rsid w:val="00FF4D99"/>
    <w:rsid w:val="00FF5E23"/>
    <w:rsid w:val="00FF5F41"/>
    <w:rsid w:val="00FF6331"/>
    <w:rsid w:val="00FF6F27"/>
    <w:rsid w:val="00FF7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2e78,#175591"/>
    </o:shapedefaults>
    <o:shapelayout v:ext="edit">
      <o:idmap v:ext="edit" data="1"/>
    </o:shapelayout>
  </w:shapeDefaults>
  <w:decimalSymbol w:val="."/>
  <w:listSeparator w:val=","/>
  <w14:docId w14:val="4FDDD36E"/>
  <w15:docId w15:val="{E2F8E5D5-C087-403E-B05D-C640C1B62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_Text"/>
    <w:qFormat/>
    <w:rsid w:val="00CB2054"/>
    <w:rPr>
      <w:rFonts w:ascii="Palatino Linotype" w:eastAsia="MS Mincho" w:hAnsi="Palatino Linotype"/>
      <w:szCs w:val="24"/>
      <w:lang w:eastAsia="ja-JP"/>
    </w:rPr>
  </w:style>
  <w:style w:type="paragraph" w:styleId="Heading1">
    <w:name w:val="heading 1"/>
    <w:basedOn w:val="Normal"/>
    <w:next w:val="Normal"/>
    <w:link w:val="Heading1Char"/>
    <w:qFormat/>
    <w:pPr>
      <w:tabs>
        <w:tab w:val="left" w:pos="170"/>
      </w:tabs>
      <w:outlineLvl w:val="0"/>
    </w:pPr>
    <w:rPr>
      <w:rFonts w:eastAsia="Times New Roman"/>
      <w:b/>
      <w:bCs/>
      <w:kern w:val="32"/>
      <w:szCs w:val="20"/>
      <w:lang w:eastAsia="en-US"/>
    </w:rPr>
  </w:style>
  <w:style w:type="paragraph" w:styleId="Heading2">
    <w:name w:val="heading 2"/>
    <w:basedOn w:val="Normal"/>
    <w:next w:val="Normal"/>
    <w:qFormat/>
    <w:pPr>
      <w:keepNext/>
      <w:tabs>
        <w:tab w:val="left" w:pos="170"/>
      </w:tabs>
      <w:outlineLvl w:val="1"/>
    </w:pPr>
    <w:rPr>
      <w:bCs/>
      <w:sz w:val="24"/>
      <w:szCs w:val="20"/>
    </w:rPr>
  </w:style>
  <w:style w:type="paragraph" w:styleId="Heading3">
    <w:name w:val="heading 3"/>
    <w:basedOn w:val="Normal"/>
    <w:next w:val="Normal"/>
    <w:qFormat/>
    <w:pPr>
      <w:keepNext/>
      <w:tabs>
        <w:tab w:val="left" w:pos="170"/>
      </w:tabs>
      <w:outlineLvl w:val="2"/>
    </w:pPr>
    <w:rPr>
      <w:rFonts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Palatino Linotype" w:hAnsi="Palatino Linotype"/>
      <w:b/>
      <w:bCs/>
      <w:kern w:val="32"/>
      <w:lang w:val="en-US" w:eastAsia="en-US" w:bidi="ar-SA"/>
    </w:rPr>
  </w:style>
  <w:style w:type="paragraph" w:customStyle="1" w:styleId="Re">
    <w:name w:val="Re:"/>
    <w:basedOn w:val="Normal"/>
    <w:pPr>
      <w:jc w:val="center"/>
    </w:pPr>
    <w:rPr>
      <w:b/>
    </w:rPr>
  </w:style>
  <w:style w:type="paragraph" w:customStyle="1" w:styleId="Project">
    <w:name w:val="Project #"/>
    <w:basedOn w:val="Normal"/>
    <w:pPr>
      <w:jc w:val="right"/>
    </w:pPr>
  </w:style>
  <w:style w:type="paragraph" w:styleId="TOC2">
    <w:name w:val="toc 2"/>
    <w:basedOn w:val="Normal"/>
    <w:next w:val="Normal"/>
    <w:autoRedefine/>
    <w:semiHidden/>
    <w:pPr>
      <w:ind w:left="200"/>
    </w:pPr>
  </w:style>
  <w:style w:type="paragraph" w:styleId="ListBullet">
    <w:name w:val="List Bullet"/>
    <w:basedOn w:val="Normal"/>
    <w:autoRedefine/>
    <w:pPr>
      <w:numPr>
        <w:numId w:val="1"/>
      </w:numPr>
      <w:tabs>
        <w:tab w:val="left" w:pos="170"/>
      </w:tabs>
    </w:pPr>
  </w:style>
  <w:style w:type="paragraph" w:styleId="BalloonText">
    <w:name w:val="Balloon Text"/>
    <w:basedOn w:val="Normal"/>
    <w:link w:val="BalloonTextChar"/>
    <w:uiPriority w:val="99"/>
    <w:semiHidden/>
    <w:rsid w:val="00CB2054"/>
    <w:rPr>
      <w:rFonts w:ascii="Tahoma" w:hAnsi="Tahoma" w:cs="Tahoma"/>
      <w:sz w:val="16"/>
      <w:szCs w:val="16"/>
    </w:rPr>
  </w:style>
  <w:style w:type="paragraph" w:styleId="NormalWeb">
    <w:name w:val="Normal (Web)"/>
    <w:basedOn w:val="Normal"/>
    <w:uiPriority w:val="99"/>
    <w:pPr>
      <w:spacing w:before="100" w:beforeAutospacing="1" w:after="100" w:afterAutospacing="1" w:line="270" w:lineRule="atLeast"/>
    </w:pPr>
    <w:rPr>
      <w:rFonts w:ascii="Times New Roman" w:eastAsia="Times New Roman" w:hAnsi="Times New Roman"/>
      <w:color w:val="999999"/>
      <w:sz w:val="18"/>
      <w:szCs w:val="18"/>
      <w:lang w:eastAsia="en-US"/>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rPr>
  </w:style>
  <w:style w:type="paragraph" w:styleId="BodyText">
    <w:name w:val="Body Text"/>
    <w:basedOn w:val="Normal"/>
    <w:next w:val="Normal"/>
    <w:semiHidden/>
    <w:pPr>
      <w:spacing w:after="120"/>
    </w:pPr>
  </w:style>
  <w:style w:type="paragraph" w:customStyle="1" w:styleId="DocsID">
    <w:name w:val="DocsID"/>
    <w:basedOn w:val="Normal"/>
    <w:pPr>
      <w:spacing w:before="20"/>
    </w:pPr>
    <w:rPr>
      <w:rFonts w:ascii="Times New Roman" w:eastAsia="Times New Roman" w:hAnsi="Times New Roman"/>
      <w:color w:val="000080"/>
      <w:sz w:val="16"/>
      <w:szCs w:val="20"/>
      <w:lang w:val="en-CA" w:eastAsia="en-US"/>
    </w:rPr>
  </w:style>
  <w:style w:type="character" w:styleId="Strong">
    <w:name w:val="Strong"/>
    <w:uiPriority w:val="22"/>
    <w:qFormat/>
    <w:rPr>
      <w:b/>
      <w:bCs/>
    </w:rPr>
  </w:style>
  <w:style w:type="character" w:styleId="CommentReference">
    <w:name w:val="annotation reference"/>
    <w:uiPriority w:val="99"/>
    <w:rsid w:val="00CB2054"/>
    <w:rPr>
      <w:sz w:val="18"/>
      <w:szCs w:val="18"/>
    </w:rPr>
  </w:style>
  <w:style w:type="paragraph" w:styleId="CommentText">
    <w:name w:val="annotation text"/>
    <w:basedOn w:val="Normal"/>
    <w:link w:val="CommentTextChar"/>
    <w:uiPriority w:val="99"/>
    <w:rsid w:val="00CB2054"/>
    <w:rPr>
      <w:sz w:val="24"/>
      <w:lang w:val="x-none"/>
    </w:rPr>
  </w:style>
  <w:style w:type="character" w:customStyle="1" w:styleId="CommentTextChar">
    <w:name w:val="Comment Text Char"/>
    <w:link w:val="CommentText"/>
    <w:uiPriority w:val="99"/>
    <w:rPr>
      <w:rFonts w:ascii="Palatino Linotype" w:eastAsia="MS Mincho" w:hAnsi="Palatino Linotype"/>
      <w:sz w:val="24"/>
      <w:szCs w:val="24"/>
      <w:lang w:val="x-none" w:eastAsia="ja-JP"/>
    </w:rPr>
  </w:style>
  <w:style w:type="paragraph" w:styleId="CommentSubject">
    <w:name w:val="annotation subject"/>
    <w:basedOn w:val="CommentText"/>
    <w:next w:val="CommentText"/>
    <w:link w:val="CommentSubjectChar"/>
    <w:uiPriority w:val="99"/>
    <w:rsid w:val="00CB2054"/>
    <w:rPr>
      <w:b/>
      <w:bCs/>
    </w:rPr>
  </w:style>
  <w:style w:type="character" w:customStyle="1" w:styleId="CommentSubjectChar">
    <w:name w:val="Comment Subject Char"/>
    <w:link w:val="CommentSubject"/>
    <w:uiPriority w:val="99"/>
    <w:rPr>
      <w:rFonts w:ascii="Palatino Linotype" w:eastAsia="MS Mincho" w:hAnsi="Palatino Linotype"/>
      <w:b/>
      <w:bCs/>
      <w:sz w:val="24"/>
      <w:szCs w:val="24"/>
      <w:lang w:val="x-none" w:eastAsia="ja-JP"/>
    </w:rPr>
  </w:style>
  <w:style w:type="paragraph" w:customStyle="1" w:styleId="ColorfulShading-Accent11">
    <w:name w:val="Colorful Shading - Accent 11"/>
    <w:hidden/>
    <w:uiPriority w:val="71"/>
    <w:rPr>
      <w:rFonts w:ascii="Palatino Linotype" w:eastAsia="MS Mincho" w:hAnsi="Palatino Linotype"/>
      <w:szCs w:val="24"/>
      <w:lang w:eastAsia="ja-JP"/>
    </w:rPr>
  </w:style>
  <w:style w:type="paragraph" w:styleId="Revision">
    <w:name w:val="Revision"/>
    <w:hidden/>
    <w:uiPriority w:val="99"/>
    <w:semiHidden/>
    <w:rPr>
      <w:rFonts w:ascii="Palatino Linotype" w:eastAsia="MS Mincho" w:hAnsi="Palatino Linotype"/>
      <w:szCs w:val="24"/>
      <w:lang w:eastAsia="ja-JP"/>
    </w:rPr>
  </w:style>
  <w:style w:type="character" w:customStyle="1" w:styleId="FooterChar">
    <w:name w:val="Footer Char"/>
    <w:link w:val="Footer"/>
    <w:uiPriority w:val="99"/>
    <w:rPr>
      <w:rFonts w:ascii="Palatino Linotype" w:eastAsia="MS Mincho" w:hAnsi="Palatino Linotype"/>
      <w:szCs w:val="24"/>
      <w:lang w:eastAsia="ja-JP"/>
    </w:rPr>
  </w:style>
  <w:style w:type="paragraph" w:customStyle="1" w:styleId="Action">
    <w:name w:val="Action"/>
    <w:pPr>
      <w:widowControl w:val="0"/>
      <w:autoSpaceDE w:val="0"/>
      <w:autoSpaceDN w:val="0"/>
      <w:adjustRightInd w:val="0"/>
    </w:pPr>
    <w:rPr>
      <w:rFonts w:ascii="Arial" w:hAnsi="Arial" w:cs="Arial"/>
      <w:b/>
      <w:bCs/>
      <w:color w:val="000000"/>
      <w:sz w:val="18"/>
      <w:szCs w:val="18"/>
      <w:lang w:val="en-CA" w:eastAsia="en-CA"/>
    </w:rPr>
  </w:style>
  <w:style w:type="paragraph" w:customStyle="1" w:styleId="FSHeading">
    <w:name w:val="F/S Heading"/>
    <w:pPr>
      <w:widowControl w:val="0"/>
      <w:autoSpaceDE w:val="0"/>
      <w:autoSpaceDN w:val="0"/>
      <w:adjustRightInd w:val="0"/>
      <w:spacing w:before="288" w:after="288"/>
    </w:pPr>
    <w:rPr>
      <w:rFonts w:ascii="Arial Narrow" w:hAnsi="Arial Narrow" w:cs="Arial Narrow"/>
      <w:b/>
      <w:bCs/>
      <w:color w:val="000000"/>
      <w:sz w:val="28"/>
      <w:szCs w:val="28"/>
      <w:lang w:val="en-CA" w:eastAsia="en-CA"/>
    </w:rPr>
  </w:style>
  <w:style w:type="paragraph" w:customStyle="1" w:styleId="Heading2-Left">
    <w:name w:val="Heading2-Left"/>
    <w:pPr>
      <w:widowControl w:val="0"/>
      <w:autoSpaceDE w:val="0"/>
      <w:autoSpaceDN w:val="0"/>
      <w:adjustRightInd w:val="0"/>
      <w:spacing w:before="144"/>
    </w:pPr>
    <w:rPr>
      <w:rFonts w:ascii="Arial Narrow" w:hAnsi="Arial Narrow" w:cs="Arial Narrow"/>
      <w:b/>
      <w:bCs/>
      <w:color w:val="000000"/>
      <w:sz w:val="26"/>
      <w:szCs w:val="26"/>
      <w:lang w:val="en-CA" w:eastAsia="en-CA"/>
    </w:rPr>
  </w:style>
  <w:style w:type="paragraph" w:customStyle="1" w:styleId="TableDescInd">
    <w:name w:val="Table Desc Ind."/>
    <w:pPr>
      <w:widowControl w:val="0"/>
      <w:autoSpaceDE w:val="0"/>
      <w:autoSpaceDN w:val="0"/>
      <w:adjustRightInd w:val="0"/>
      <w:ind w:left="432"/>
    </w:pPr>
    <w:rPr>
      <w:rFonts w:ascii="Arial Narrow" w:hAnsi="Arial Narrow" w:cs="Arial Narrow"/>
      <w:color w:val="000000"/>
      <w:sz w:val="22"/>
      <w:szCs w:val="22"/>
      <w:lang w:val="en-CA" w:eastAsia="en-CA"/>
    </w:rPr>
  </w:style>
  <w:style w:type="paragraph" w:customStyle="1" w:styleId="TableDescLT">
    <w:name w:val="Table Desc LT"/>
    <w:pPr>
      <w:widowControl w:val="0"/>
      <w:autoSpaceDE w:val="0"/>
      <w:autoSpaceDN w:val="0"/>
      <w:adjustRightInd w:val="0"/>
    </w:pPr>
    <w:rPr>
      <w:rFonts w:ascii="Arial Narrow" w:hAnsi="Arial Narrow" w:cs="Arial Narrow"/>
      <w:b/>
      <w:bCs/>
      <w:color w:val="000000"/>
      <w:sz w:val="22"/>
      <w:szCs w:val="22"/>
      <w:lang w:val="en-CA" w:eastAsia="en-CA"/>
    </w:rPr>
  </w:style>
  <w:style w:type="paragraph" w:customStyle="1" w:styleId="TableDescription">
    <w:name w:val="Table Description"/>
    <w:pPr>
      <w:widowControl w:val="0"/>
      <w:autoSpaceDE w:val="0"/>
      <w:autoSpaceDN w:val="0"/>
      <w:adjustRightInd w:val="0"/>
    </w:pPr>
    <w:rPr>
      <w:rFonts w:ascii="Arial Narrow" w:hAnsi="Arial Narrow" w:cs="Arial Narrow"/>
      <w:color w:val="000000"/>
      <w:sz w:val="22"/>
      <w:szCs w:val="22"/>
      <w:lang w:val="en-CA" w:eastAsia="en-CA"/>
    </w:rPr>
  </w:style>
  <w:style w:type="paragraph" w:customStyle="1" w:styleId="Year-current">
    <w:name w:val="Year-current"/>
    <w:pPr>
      <w:widowControl w:val="0"/>
      <w:tabs>
        <w:tab w:val="center" w:pos="720"/>
      </w:tabs>
      <w:autoSpaceDE w:val="0"/>
      <w:autoSpaceDN w:val="0"/>
      <w:adjustRightInd w:val="0"/>
    </w:pPr>
    <w:rPr>
      <w:rFonts w:ascii="Arial Narrow" w:hAnsi="Arial Narrow" w:cs="Arial Narrow"/>
      <w:b/>
      <w:bCs/>
      <w:color w:val="000000"/>
      <w:sz w:val="22"/>
      <w:szCs w:val="22"/>
      <w:lang w:val="en-CA" w:eastAsia="en-CA"/>
    </w:rPr>
  </w:style>
  <w:style w:type="paragraph" w:customStyle="1" w:styleId="Heading3-Left">
    <w:name w:val="Heading3-Left"/>
    <w:pPr>
      <w:widowControl w:val="0"/>
      <w:autoSpaceDE w:val="0"/>
      <w:autoSpaceDN w:val="0"/>
      <w:adjustRightInd w:val="0"/>
      <w:spacing w:after="288"/>
    </w:pPr>
    <w:rPr>
      <w:rFonts w:ascii="Arial Narrow" w:hAnsi="Arial Narrow" w:cs="Arial Narrow"/>
      <w:b/>
      <w:bCs/>
      <w:color w:val="000000"/>
      <w:sz w:val="22"/>
      <w:szCs w:val="22"/>
      <w:lang w:val="en-CA" w:eastAsia="en-CA"/>
    </w:rPr>
  </w:style>
  <w:style w:type="paragraph" w:customStyle="1" w:styleId="TableDescIndCF">
    <w:name w:val="Table Desc Ind.CF"/>
    <w:pPr>
      <w:widowControl w:val="0"/>
      <w:autoSpaceDE w:val="0"/>
      <w:autoSpaceDN w:val="0"/>
      <w:adjustRightInd w:val="0"/>
      <w:ind w:left="864"/>
    </w:pPr>
    <w:rPr>
      <w:rFonts w:ascii="Arial Narrow" w:hAnsi="Arial Narrow" w:cs="Arial Narrow"/>
      <w:color w:val="000000"/>
      <w:sz w:val="22"/>
      <w:szCs w:val="22"/>
      <w:lang w:val="en-CA" w:eastAsia="en-CA"/>
    </w:rPr>
  </w:style>
  <w:style w:type="paragraph" w:styleId="NoSpacing">
    <w:name w:val="No Spacing"/>
    <w:uiPriority w:val="1"/>
    <w:qFormat/>
    <w:rPr>
      <w:rFonts w:ascii="Palatino Linotype" w:eastAsia="MS Mincho" w:hAnsi="Palatino Linotype"/>
      <w:szCs w:val="24"/>
      <w:lang w:eastAsia="ja-JP"/>
    </w:rPr>
  </w:style>
  <w:style w:type="paragraph" w:customStyle="1" w:styleId="Default">
    <w:name w:val="Default"/>
    <w:pPr>
      <w:autoSpaceDE w:val="0"/>
      <w:autoSpaceDN w:val="0"/>
      <w:adjustRightInd w:val="0"/>
    </w:pPr>
    <w:rPr>
      <w:rFonts w:ascii="Palatino Linotype" w:hAnsi="Palatino Linotype" w:cs="Palatino Linotype"/>
      <w:color w:val="000000"/>
      <w:sz w:val="24"/>
      <w:szCs w:val="24"/>
    </w:rPr>
  </w:style>
  <w:style w:type="table" w:styleId="TableGrid">
    <w:name w:val="Table Grid"/>
    <w:basedOn w:val="TableNormal"/>
    <w:uiPriority w:val="5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2054"/>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rsid w:val="00CB2054"/>
    <w:rPr>
      <w:color w:val="0000FF"/>
      <w:u w:val="single"/>
    </w:rPr>
  </w:style>
  <w:style w:type="character" w:styleId="FollowedHyperlink">
    <w:name w:val="FollowedHyperlink"/>
    <w:rsid w:val="00C23741"/>
    <w:rPr>
      <w:color w:val="800080"/>
      <w:u w:val="single"/>
    </w:rPr>
  </w:style>
  <w:style w:type="character" w:customStyle="1" w:styleId="HeaderChar">
    <w:name w:val="Header Char"/>
    <w:link w:val="Header"/>
    <w:uiPriority w:val="99"/>
    <w:rsid w:val="004414B8"/>
    <w:rPr>
      <w:rFonts w:ascii="Palatino Linotype" w:eastAsia="MS Mincho" w:hAnsi="Palatino Linotype"/>
      <w:szCs w:val="24"/>
      <w:lang w:eastAsia="ja-JP"/>
    </w:rPr>
  </w:style>
  <w:style w:type="paragraph" w:customStyle="1" w:styleId="NRBodyTextIndent">
    <w:name w:val="NR Body Text Indent"/>
    <w:basedOn w:val="Normal"/>
    <w:link w:val="NRBodyTextIndentChar"/>
    <w:uiPriority w:val="1"/>
    <w:qFormat/>
    <w:rsid w:val="00C96FDA"/>
    <w:pPr>
      <w:spacing w:after="240"/>
      <w:ind w:left="720"/>
      <w:jc w:val="both"/>
    </w:pPr>
    <w:rPr>
      <w:rFonts w:ascii="Arial" w:eastAsia="Calibri" w:hAnsi="Arial"/>
      <w:szCs w:val="20"/>
      <w:lang w:val="x-none" w:eastAsia="x-none"/>
    </w:rPr>
  </w:style>
  <w:style w:type="character" w:customStyle="1" w:styleId="NRBodyTextIndentChar">
    <w:name w:val="NR Body Text Indent Char"/>
    <w:link w:val="NRBodyTextIndent"/>
    <w:uiPriority w:val="1"/>
    <w:rsid w:val="00C96FDA"/>
    <w:rPr>
      <w:rFonts w:ascii="Arial" w:eastAsia="Calibri" w:hAnsi="Arial"/>
      <w:lang w:val="x-none" w:eastAsia="x-none"/>
    </w:rPr>
  </w:style>
  <w:style w:type="paragraph" w:styleId="PlainText">
    <w:name w:val="Plain Text"/>
    <w:basedOn w:val="Normal"/>
    <w:link w:val="PlainTextChar"/>
    <w:uiPriority w:val="99"/>
    <w:unhideWhenUsed/>
    <w:rsid w:val="00050EA0"/>
    <w:rPr>
      <w:rFonts w:ascii="Courier New" w:eastAsia="Calibri" w:hAnsi="Courier New"/>
      <w:color w:val="000000"/>
      <w:szCs w:val="20"/>
      <w:lang w:eastAsia="en-US"/>
    </w:rPr>
  </w:style>
  <w:style w:type="character" w:customStyle="1" w:styleId="PlainTextChar">
    <w:name w:val="Plain Text Char"/>
    <w:link w:val="PlainText"/>
    <w:uiPriority w:val="99"/>
    <w:rsid w:val="00050EA0"/>
    <w:rPr>
      <w:rFonts w:ascii="Courier New" w:eastAsia="Calibri" w:hAnsi="Courier New"/>
      <w:color w:val="000000"/>
    </w:rPr>
  </w:style>
  <w:style w:type="paragraph" w:customStyle="1" w:styleId="Header1-Left">
    <w:name w:val="Header1-Left"/>
    <w:rsid w:val="006E5165"/>
    <w:pPr>
      <w:widowControl w:val="0"/>
      <w:autoSpaceDE w:val="0"/>
      <w:autoSpaceDN w:val="0"/>
      <w:adjustRightInd w:val="0"/>
    </w:pPr>
    <w:rPr>
      <w:rFonts w:ascii="Arial Narrow" w:hAnsi="Arial Narrow" w:cs="Arial Narrow"/>
      <w:color w:val="000000"/>
      <w:sz w:val="22"/>
      <w:szCs w:val="22"/>
      <w:lang w:val="en-CA" w:eastAsia="en-CA"/>
    </w:rPr>
  </w:style>
  <w:style w:type="paragraph" w:customStyle="1" w:styleId="MediumGrid21">
    <w:name w:val="Medium Grid 21"/>
    <w:uiPriority w:val="1"/>
    <w:qFormat/>
    <w:rsid w:val="00CB2054"/>
    <w:rPr>
      <w:rFonts w:ascii="Calibri" w:eastAsia="Calibri" w:hAnsi="Calibri"/>
      <w:sz w:val="22"/>
      <w:szCs w:val="22"/>
      <w:lang w:val="en-CA"/>
    </w:rPr>
  </w:style>
  <w:style w:type="character" w:customStyle="1" w:styleId="text11">
    <w:name w:val="text11"/>
    <w:rsid w:val="00CB2054"/>
    <w:rPr>
      <w:rFonts w:ascii="Arial" w:hAnsi="Arial" w:cs="Arial" w:hint="default"/>
      <w:color w:val="515151"/>
      <w:sz w:val="18"/>
      <w:szCs w:val="18"/>
    </w:rPr>
  </w:style>
  <w:style w:type="character" w:customStyle="1" w:styleId="BalloonTextChar">
    <w:name w:val="Balloon Text Char"/>
    <w:link w:val="BalloonText"/>
    <w:uiPriority w:val="99"/>
    <w:semiHidden/>
    <w:rsid w:val="00CB2054"/>
    <w:rPr>
      <w:rFonts w:ascii="Tahoma" w:eastAsia="MS Mincho" w:hAnsi="Tahoma" w:cs="Tahoma"/>
      <w:sz w:val="16"/>
      <w:szCs w:val="16"/>
      <w:lang w:eastAsia="ja-JP"/>
    </w:rPr>
  </w:style>
  <w:style w:type="character" w:customStyle="1" w:styleId="UnresolvedMention1">
    <w:name w:val="Unresolved Mention1"/>
    <w:basedOn w:val="DefaultParagraphFont"/>
    <w:uiPriority w:val="99"/>
    <w:semiHidden/>
    <w:unhideWhenUsed/>
    <w:rsid w:val="00D713D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558">
      <w:bodyDiv w:val="1"/>
      <w:marLeft w:val="0"/>
      <w:marRight w:val="0"/>
      <w:marTop w:val="0"/>
      <w:marBottom w:val="0"/>
      <w:divBdr>
        <w:top w:val="none" w:sz="0" w:space="0" w:color="auto"/>
        <w:left w:val="none" w:sz="0" w:space="0" w:color="auto"/>
        <w:bottom w:val="none" w:sz="0" w:space="0" w:color="auto"/>
        <w:right w:val="none" w:sz="0" w:space="0" w:color="auto"/>
      </w:divBdr>
    </w:div>
    <w:div w:id="69619428">
      <w:bodyDiv w:val="1"/>
      <w:marLeft w:val="0"/>
      <w:marRight w:val="0"/>
      <w:marTop w:val="0"/>
      <w:marBottom w:val="0"/>
      <w:divBdr>
        <w:top w:val="none" w:sz="0" w:space="0" w:color="auto"/>
        <w:left w:val="none" w:sz="0" w:space="0" w:color="auto"/>
        <w:bottom w:val="none" w:sz="0" w:space="0" w:color="auto"/>
        <w:right w:val="none" w:sz="0" w:space="0" w:color="auto"/>
      </w:divBdr>
    </w:div>
    <w:div w:id="130828907">
      <w:bodyDiv w:val="1"/>
      <w:marLeft w:val="0"/>
      <w:marRight w:val="0"/>
      <w:marTop w:val="0"/>
      <w:marBottom w:val="0"/>
      <w:divBdr>
        <w:top w:val="none" w:sz="0" w:space="0" w:color="auto"/>
        <w:left w:val="none" w:sz="0" w:space="0" w:color="auto"/>
        <w:bottom w:val="none" w:sz="0" w:space="0" w:color="auto"/>
        <w:right w:val="none" w:sz="0" w:space="0" w:color="auto"/>
      </w:divBdr>
    </w:div>
    <w:div w:id="266353407">
      <w:bodyDiv w:val="1"/>
      <w:marLeft w:val="0"/>
      <w:marRight w:val="0"/>
      <w:marTop w:val="0"/>
      <w:marBottom w:val="0"/>
      <w:divBdr>
        <w:top w:val="none" w:sz="0" w:space="0" w:color="auto"/>
        <w:left w:val="none" w:sz="0" w:space="0" w:color="auto"/>
        <w:bottom w:val="none" w:sz="0" w:space="0" w:color="auto"/>
        <w:right w:val="none" w:sz="0" w:space="0" w:color="auto"/>
      </w:divBdr>
    </w:div>
    <w:div w:id="383144214">
      <w:bodyDiv w:val="1"/>
      <w:marLeft w:val="0"/>
      <w:marRight w:val="0"/>
      <w:marTop w:val="0"/>
      <w:marBottom w:val="0"/>
      <w:divBdr>
        <w:top w:val="none" w:sz="0" w:space="0" w:color="auto"/>
        <w:left w:val="none" w:sz="0" w:space="0" w:color="auto"/>
        <w:bottom w:val="none" w:sz="0" w:space="0" w:color="auto"/>
        <w:right w:val="none" w:sz="0" w:space="0" w:color="auto"/>
      </w:divBdr>
    </w:div>
    <w:div w:id="401686232">
      <w:bodyDiv w:val="1"/>
      <w:marLeft w:val="0"/>
      <w:marRight w:val="0"/>
      <w:marTop w:val="0"/>
      <w:marBottom w:val="0"/>
      <w:divBdr>
        <w:top w:val="none" w:sz="0" w:space="0" w:color="auto"/>
        <w:left w:val="none" w:sz="0" w:space="0" w:color="auto"/>
        <w:bottom w:val="none" w:sz="0" w:space="0" w:color="auto"/>
        <w:right w:val="none" w:sz="0" w:space="0" w:color="auto"/>
      </w:divBdr>
      <w:divsChild>
        <w:div w:id="1931355302">
          <w:marLeft w:val="0"/>
          <w:marRight w:val="0"/>
          <w:marTop w:val="150"/>
          <w:marBottom w:val="0"/>
          <w:divBdr>
            <w:top w:val="none" w:sz="0" w:space="0" w:color="auto"/>
            <w:left w:val="none" w:sz="0" w:space="0" w:color="auto"/>
            <w:bottom w:val="none" w:sz="0" w:space="0" w:color="auto"/>
            <w:right w:val="none" w:sz="0" w:space="0" w:color="auto"/>
          </w:divBdr>
          <w:divsChild>
            <w:div w:id="1088042618">
              <w:marLeft w:val="0"/>
              <w:marRight w:val="0"/>
              <w:marTop w:val="0"/>
              <w:marBottom w:val="0"/>
              <w:divBdr>
                <w:top w:val="none" w:sz="0" w:space="0" w:color="auto"/>
                <w:left w:val="none" w:sz="0" w:space="0" w:color="auto"/>
                <w:bottom w:val="none" w:sz="0" w:space="0" w:color="auto"/>
                <w:right w:val="none" w:sz="0" w:space="0" w:color="auto"/>
              </w:divBdr>
              <w:divsChild>
                <w:div w:id="2004357003">
                  <w:marLeft w:val="0"/>
                  <w:marRight w:val="0"/>
                  <w:marTop w:val="0"/>
                  <w:marBottom w:val="0"/>
                  <w:divBdr>
                    <w:top w:val="none" w:sz="0" w:space="0" w:color="auto"/>
                    <w:left w:val="none" w:sz="0" w:space="0" w:color="auto"/>
                    <w:bottom w:val="none" w:sz="0" w:space="0" w:color="auto"/>
                    <w:right w:val="none" w:sz="0" w:space="0" w:color="auto"/>
                  </w:divBdr>
                  <w:divsChild>
                    <w:div w:id="322900266">
                      <w:marLeft w:val="0"/>
                      <w:marRight w:val="0"/>
                      <w:marTop w:val="0"/>
                      <w:marBottom w:val="0"/>
                      <w:divBdr>
                        <w:top w:val="none" w:sz="0" w:space="0" w:color="auto"/>
                        <w:left w:val="none" w:sz="0" w:space="0" w:color="auto"/>
                        <w:bottom w:val="none" w:sz="0" w:space="0" w:color="auto"/>
                        <w:right w:val="none" w:sz="0" w:space="0" w:color="auto"/>
                      </w:divBdr>
                      <w:divsChild>
                        <w:div w:id="201940932">
                          <w:marLeft w:val="0"/>
                          <w:marRight w:val="0"/>
                          <w:marTop w:val="0"/>
                          <w:marBottom w:val="0"/>
                          <w:divBdr>
                            <w:top w:val="none" w:sz="0" w:space="0" w:color="auto"/>
                            <w:left w:val="none" w:sz="0" w:space="0" w:color="auto"/>
                            <w:bottom w:val="none" w:sz="0" w:space="0" w:color="auto"/>
                            <w:right w:val="none" w:sz="0" w:space="0" w:color="auto"/>
                          </w:divBdr>
                          <w:divsChild>
                            <w:div w:id="973292576">
                              <w:marLeft w:val="0"/>
                              <w:marRight w:val="0"/>
                              <w:marTop w:val="0"/>
                              <w:marBottom w:val="0"/>
                              <w:divBdr>
                                <w:top w:val="none" w:sz="0" w:space="0" w:color="auto"/>
                                <w:left w:val="none" w:sz="0" w:space="0" w:color="auto"/>
                                <w:bottom w:val="none" w:sz="0" w:space="0" w:color="auto"/>
                                <w:right w:val="none" w:sz="0" w:space="0" w:color="auto"/>
                              </w:divBdr>
                              <w:divsChild>
                                <w:div w:id="74715686">
                                  <w:marLeft w:val="0"/>
                                  <w:marRight w:val="0"/>
                                  <w:marTop w:val="0"/>
                                  <w:marBottom w:val="0"/>
                                  <w:divBdr>
                                    <w:top w:val="none" w:sz="0" w:space="0" w:color="auto"/>
                                    <w:left w:val="none" w:sz="0" w:space="0" w:color="auto"/>
                                    <w:bottom w:val="none" w:sz="0" w:space="0" w:color="auto"/>
                                    <w:right w:val="none" w:sz="0" w:space="0" w:color="auto"/>
                                  </w:divBdr>
                                  <w:divsChild>
                                    <w:div w:id="116393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1922451">
      <w:bodyDiv w:val="1"/>
      <w:marLeft w:val="0"/>
      <w:marRight w:val="0"/>
      <w:marTop w:val="0"/>
      <w:marBottom w:val="0"/>
      <w:divBdr>
        <w:top w:val="none" w:sz="0" w:space="0" w:color="auto"/>
        <w:left w:val="none" w:sz="0" w:space="0" w:color="auto"/>
        <w:bottom w:val="none" w:sz="0" w:space="0" w:color="auto"/>
        <w:right w:val="none" w:sz="0" w:space="0" w:color="auto"/>
      </w:divBdr>
    </w:div>
    <w:div w:id="460658125">
      <w:bodyDiv w:val="1"/>
      <w:marLeft w:val="0"/>
      <w:marRight w:val="0"/>
      <w:marTop w:val="0"/>
      <w:marBottom w:val="0"/>
      <w:divBdr>
        <w:top w:val="none" w:sz="0" w:space="0" w:color="auto"/>
        <w:left w:val="none" w:sz="0" w:space="0" w:color="auto"/>
        <w:bottom w:val="none" w:sz="0" w:space="0" w:color="auto"/>
        <w:right w:val="none" w:sz="0" w:space="0" w:color="auto"/>
      </w:divBdr>
    </w:div>
    <w:div w:id="482165902">
      <w:bodyDiv w:val="1"/>
      <w:marLeft w:val="0"/>
      <w:marRight w:val="0"/>
      <w:marTop w:val="0"/>
      <w:marBottom w:val="0"/>
      <w:divBdr>
        <w:top w:val="none" w:sz="0" w:space="0" w:color="auto"/>
        <w:left w:val="none" w:sz="0" w:space="0" w:color="auto"/>
        <w:bottom w:val="none" w:sz="0" w:space="0" w:color="auto"/>
        <w:right w:val="none" w:sz="0" w:space="0" w:color="auto"/>
      </w:divBdr>
    </w:div>
    <w:div w:id="487554293">
      <w:bodyDiv w:val="1"/>
      <w:marLeft w:val="0"/>
      <w:marRight w:val="0"/>
      <w:marTop w:val="0"/>
      <w:marBottom w:val="0"/>
      <w:divBdr>
        <w:top w:val="none" w:sz="0" w:space="0" w:color="auto"/>
        <w:left w:val="none" w:sz="0" w:space="0" w:color="auto"/>
        <w:bottom w:val="none" w:sz="0" w:space="0" w:color="auto"/>
        <w:right w:val="none" w:sz="0" w:space="0" w:color="auto"/>
      </w:divBdr>
    </w:div>
    <w:div w:id="526869141">
      <w:bodyDiv w:val="1"/>
      <w:marLeft w:val="0"/>
      <w:marRight w:val="0"/>
      <w:marTop w:val="0"/>
      <w:marBottom w:val="0"/>
      <w:divBdr>
        <w:top w:val="none" w:sz="0" w:space="0" w:color="auto"/>
        <w:left w:val="none" w:sz="0" w:space="0" w:color="auto"/>
        <w:bottom w:val="none" w:sz="0" w:space="0" w:color="auto"/>
        <w:right w:val="none" w:sz="0" w:space="0" w:color="auto"/>
      </w:divBdr>
    </w:div>
    <w:div w:id="837815579">
      <w:bodyDiv w:val="1"/>
      <w:marLeft w:val="0"/>
      <w:marRight w:val="0"/>
      <w:marTop w:val="0"/>
      <w:marBottom w:val="0"/>
      <w:divBdr>
        <w:top w:val="none" w:sz="0" w:space="0" w:color="auto"/>
        <w:left w:val="none" w:sz="0" w:space="0" w:color="auto"/>
        <w:bottom w:val="none" w:sz="0" w:space="0" w:color="auto"/>
        <w:right w:val="none" w:sz="0" w:space="0" w:color="auto"/>
      </w:divBdr>
    </w:div>
    <w:div w:id="850678218">
      <w:bodyDiv w:val="1"/>
      <w:marLeft w:val="0"/>
      <w:marRight w:val="0"/>
      <w:marTop w:val="0"/>
      <w:marBottom w:val="0"/>
      <w:divBdr>
        <w:top w:val="none" w:sz="0" w:space="0" w:color="auto"/>
        <w:left w:val="none" w:sz="0" w:space="0" w:color="auto"/>
        <w:bottom w:val="none" w:sz="0" w:space="0" w:color="auto"/>
        <w:right w:val="none" w:sz="0" w:space="0" w:color="auto"/>
      </w:divBdr>
    </w:div>
    <w:div w:id="852038826">
      <w:bodyDiv w:val="1"/>
      <w:marLeft w:val="0"/>
      <w:marRight w:val="0"/>
      <w:marTop w:val="0"/>
      <w:marBottom w:val="0"/>
      <w:divBdr>
        <w:top w:val="none" w:sz="0" w:space="0" w:color="auto"/>
        <w:left w:val="none" w:sz="0" w:space="0" w:color="auto"/>
        <w:bottom w:val="none" w:sz="0" w:space="0" w:color="auto"/>
        <w:right w:val="none" w:sz="0" w:space="0" w:color="auto"/>
      </w:divBdr>
    </w:div>
    <w:div w:id="913901559">
      <w:bodyDiv w:val="1"/>
      <w:marLeft w:val="0"/>
      <w:marRight w:val="0"/>
      <w:marTop w:val="0"/>
      <w:marBottom w:val="0"/>
      <w:divBdr>
        <w:top w:val="none" w:sz="0" w:space="0" w:color="auto"/>
        <w:left w:val="none" w:sz="0" w:space="0" w:color="auto"/>
        <w:bottom w:val="none" w:sz="0" w:space="0" w:color="auto"/>
        <w:right w:val="none" w:sz="0" w:space="0" w:color="auto"/>
      </w:divBdr>
    </w:div>
    <w:div w:id="934245152">
      <w:bodyDiv w:val="1"/>
      <w:marLeft w:val="0"/>
      <w:marRight w:val="0"/>
      <w:marTop w:val="0"/>
      <w:marBottom w:val="0"/>
      <w:divBdr>
        <w:top w:val="none" w:sz="0" w:space="0" w:color="auto"/>
        <w:left w:val="none" w:sz="0" w:space="0" w:color="auto"/>
        <w:bottom w:val="none" w:sz="0" w:space="0" w:color="auto"/>
        <w:right w:val="none" w:sz="0" w:space="0" w:color="auto"/>
      </w:divBdr>
    </w:div>
    <w:div w:id="966660902">
      <w:bodyDiv w:val="1"/>
      <w:marLeft w:val="0"/>
      <w:marRight w:val="0"/>
      <w:marTop w:val="0"/>
      <w:marBottom w:val="0"/>
      <w:divBdr>
        <w:top w:val="none" w:sz="0" w:space="0" w:color="auto"/>
        <w:left w:val="none" w:sz="0" w:space="0" w:color="auto"/>
        <w:bottom w:val="none" w:sz="0" w:space="0" w:color="auto"/>
        <w:right w:val="none" w:sz="0" w:space="0" w:color="auto"/>
      </w:divBdr>
    </w:div>
    <w:div w:id="970287827">
      <w:bodyDiv w:val="1"/>
      <w:marLeft w:val="0"/>
      <w:marRight w:val="0"/>
      <w:marTop w:val="0"/>
      <w:marBottom w:val="0"/>
      <w:divBdr>
        <w:top w:val="none" w:sz="0" w:space="0" w:color="auto"/>
        <w:left w:val="none" w:sz="0" w:space="0" w:color="auto"/>
        <w:bottom w:val="none" w:sz="0" w:space="0" w:color="auto"/>
        <w:right w:val="none" w:sz="0" w:space="0" w:color="auto"/>
      </w:divBdr>
    </w:div>
    <w:div w:id="992835934">
      <w:bodyDiv w:val="1"/>
      <w:marLeft w:val="0"/>
      <w:marRight w:val="0"/>
      <w:marTop w:val="0"/>
      <w:marBottom w:val="0"/>
      <w:divBdr>
        <w:top w:val="none" w:sz="0" w:space="0" w:color="auto"/>
        <w:left w:val="none" w:sz="0" w:space="0" w:color="auto"/>
        <w:bottom w:val="none" w:sz="0" w:space="0" w:color="auto"/>
        <w:right w:val="none" w:sz="0" w:space="0" w:color="auto"/>
      </w:divBdr>
    </w:div>
    <w:div w:id="1019038993">
      <w:bodyDiv w:val="1"/>
      <w:marLeft w:val="0"/>
      <w:marRight w:val="0"/>
      <w:marTop w:val="300"/>
      <w:marBottom w:val="0"/>
      <w:divBdr>
        <w:top w:val="none" w:sz="0" w:space="0" w:color="auto"/>
        <w:left w:val="none" w:sz="0" w:space="0" w:color="auto"/>
        <w:bottom w:val="none" w:sz="0" w:space="0" w:color="auto"/>
        <w:right w:val="none" w:sz="0" w:space="0" w:color="auto"/>
      </w:divBdr>
      <w:divsChild>
        <w:div w:id="1776897361">
          <w:marLeft w:val="0"/>
          <w:marRight w:val="0"/>
          <w:marTop w:val="0"/>
          <w:marBottom w:val="0"/>
          <w:divBdr>
            <w:top w:val="none" w:sz="0" w:space="0" w:color="auto"/>
            <w:left w:val="none" w:sz="0" w:space="0" w:color="auto"/>
            <w:bottom w:val="none" w:sz="0" w:space="0" w:color="auto"/>
            <w:right w:val="none" w:sz="0" w:space="0" w:color="auto"/>
          </w:divBdr>
        </w:div>
      </w:divsChild>
    </w:div>
    <w:div w:id="1040087060">
      <w:bodyDiv w:val="1"/>
      <w:marLeft w:val="0"/>
      <w:marRight w:val="0"/>
      <w:marTop w:val="0"/>
      <w:marBottom w:val="0"/>
      <w:divBdr>
        <w:top w:val="none" w:sz="0" w:space="0" w:color="auto"/>
        <w:left w:val="none" w:sz="0" w:space="0" w:color="auto"/>
        <w:bottom w:val="none" w:sz="0" w:space="0" w:color="auto"/>
        <w:right w:val="none" w:sz="0" w:space="0" w:color="auto"/>
      </w:divBdr>
      <w:divsChild>
        <w:div w:id="2014528745">
          <w:marLeft w:val="0"/>
          <w:marRight w:val="0"/>
          <w:marTop w:val="150"/>
          <w:marBottom w:val="0"/>
          <w:divBdr>
            <w:top w:val="none" w:sz="0" w:space="0" w:color="auto"/>
            <w:left w:val="none" w:sz="0" w:space="0" w:color="auto"/>
            <w:bottom w:val="none" w:sz="0" w:space="0" w:color="auto"/>
            <w:right w:val="none" w:sz="0" w:space="0" w:color="auto"/>
          </w:divBdr>
          <w:divsChild>
            <w:div w:id="1289118310">
              <w:marLeft w:val="0"/>
              <w:marRight w:val="0"/>
              <w:marTop w:val="0"/>
              <w:marBottom w:val="0"/>
              <w:divBdr>
                <w:top w:val="none" w:sz="0" w:space="0" w:color="auto"/>
                <w:left w:val="none" w:sz="0" w:space="0" w:color="auto"/>
                <w:bottom w:val="none" w:sz="0" w:space="0" w:color="auto"/>
                <w:right w:val="none" w:sz="0" w:space="0" w:color="auto"/>
              </w:divBdr>
              <w:divsChild>
                <w:div w:id="1755080089">
                  <w:marLeft w:val="0"/>
                  <w:marRight w:val="0"/>
                  <w:marTop w:val="0"/>
                  <w:marBottom w:val="0"/>
                  <w:divBdr>
                    <w:top w:val="none" w:sz="0" w:space="0" w:color="auto"/>
                    <w:left w:val="none" w:sz="0" w:space="0" w:color="auto"/>
                    <w:bottom w:val="none" w:sz="0" w:space="0" w:color="auto"/>
                    <w:right w:val="none" w:sz="0" w:space="0" w:color="auto"/>
                  </w:divBdr>
                  <w:divsChild>
                    <w:div w:id="1111513627">
                      <w:marLeft w:val="0"/>
                      <w:marRight w:val="0"/>
                      <w:marTop w:val="0"/>
                      <w:marBottom w:val="0"/>
                      <w:divBdr>
                        <w:top w:val="none" w:sz="0" w:space="0" w:color="auto"/>
                        <w:left w:val="none" w:sz="0" w:space="0" w:color="auto"/>
                        <w:bottom w:val="none" w:sz="0" w:space="0" w:color="auto"/>
                        <w:right w:val="none" w:sz="0" w:space="0" w:color="auto"/>
                      </w:divBdr>
                      <w:divsChild>
                        <w:div w:id="645742031">
                          <w:marLeft w:val="0"/>
                          <w:marRight w:val="0"/>
                          <w:marTop w:val="0"/>
                          <w:marBottom w:val="0"/>
                          <w:divBdr>
                            <w:top w:val="none" w:sz="0" w:space="0" w:color="auto"/>
                            <w:left w:val="none" w:sz="0" w:space="0" w:color="auto"/>
                            <w:bottom w:val="none" w:sz="0" w:space="0" w:color="auto"/>
                            <w:right w:val="none" w:sz="0" w:space="0" w:color="auto"/>
                          </w:divBdr>
                          <w:divsChild>
                            <w:div w:id="1087649213">
                              <w:marLeft w:val="0"/>
                              <w:marRight w:val="0"/>
                              <w:marTop w:val="0"/>
                              <w:marBottom w:val="0"/>
                              <w:divBdr>
                                <w:top w:val="none" w:sz="0" w:space="0" w:color="auto"/>
                                <w:left w:val="none" w:sz="0" w:space="0" w:color="auto"/>
                                <w:bottom w:val="none" w:sz="0" w:space="0" w:color="auto"/>
                                <w:right w:val="none" w:sz="0" w:space="0" w:color="auto"/>
                              </w:divBdr>
                              <w:divsChild>
                                <w:div w:id="82534625">
                                  <w:marLeft w:val="0"/>
                                  <w:marRight w:val="0"/>
                                  <w:marTop w:val="0"/>
                                  <w:marBottom w:val="0"/>
                                  <w:divBdr>
                                    <w:top w:val="none" w:sz="0" w:space="0" w:color="auto"/>
                                    <w:left w:val="none" w:sz="0" w:space="0" w:color="auto"/>
                                    <w:bottom w:val="none" w:sz="0" w:space="0" w:color="auto"/>
                                    <w:right w:val="none" w:sz="0" w:space="0" w:color="auto"/>
                                  </w:divBdr>
                                  <w:divsChild>
                                    <w:div w:id="95047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750911">
      <w:bodyDiv w:val="1"/>
      <w:marLeft w:val="0"/>
      <w:marRight w:val="0"/>
      <w:marTop w:val="0"/>
      <w:marBottom w:val="0"/>
      <w:divBdr>
        <w:top w:val="none" w:sz="0" w:space="0" w:color="auto"/>
        <w:left w:val="none" w:sz="0" w:space="0" w:color="auto"/>
        <w:bottom w:val="none" w:sz="0" w:space="0" w:color="auto"/>
        <w:right w:val="none" w:sz="0" w:space="0" w:color="auto"/>
      </w:divBdr>
    </w:div>
    <w:div w:id="1181891660">
      <w:bodyDiv w:val="1"/>
      <w:marLeft w:val="0"/>
      <w:marRight w:val="0"/>
      <w:marTop w:val="0"/>
      <w:marBottom w:val="0"/>
      <w:divBdr>
        <w:top w:val="none" w:sz="0" w:space="0" w:color="auto"/>
        <w:left w:val="none" w:sz="0" w:space="0" w:color="auto"/>
        <w:bottom w:val="none" w:sz="0" w:space="0" w:color="auto"/>
        <w:right w:val="none" w:sz="0" w:space="0" w:color="auto"/>
      </w:divBdr>
    </w:div>
    <w:div w:id="1186750559">
      <w:bodyDiv w:val="1"/>
      <w:marLeft w:val="0"/>
      <w:marRight w:val="0"/>
      <w:marTop w:val="0"/>
      <w:marBottom w:val="0"/>
      <w:divBdr>
        <w:top w:val="none" w:sz="0" w:space="0" w:color="auto"/>
        <w:left w:val="none" w:sz="0" w:space="0" w:color="auto"/>
        <w:bottom w:val="none" w:sz="0" w:space="0" w:color="auto"/>
        <w:right w:val="none" w:sz="0" w:space="0" w:color="auto"/>
      </w:divBdr>
    </w:div>
    <w:div w:id="1357001558">
      <w:bodyDiv w:val="1"/>
      <w:marLeft w:val="0"/>
      <w:marRight w:val="0"/>
      <w:marTop w:val="0"/>
      <w:marBottom w:val="0"/>
      <w:divBdr>
        <w:top w:val="none" w:sz="0" w:space="0" w:color="auto"/>
        <w:left w:val="none" w:sz="0" w:space="0" w:color="auto"/>
        <w:bottom w:val="none" w:sz="0" w:space="0" w:color="auto"/>
        <w:right w:val="none" w:sz="0" w:space="0" w:color="auto"/>
      </w:divBdr>
    </w:div>
    <w:div w:id="1426613988">
      <w:bodyDiv w:val="1"/>
      <w:marLeft w:val="0"/>
      <w:marRight w:val="0"/>
      <w:marTop w:val="0"/>
      <w:marBottom w:val="0"/>
      <w:divBdr>
        <w:top w:val="none" w:sz="0" w:space="0" w:color="auto"/>
        <w:left w:val="none" w:sz="0" w:space="0" w:color="auto"/>
        <w:bottom w:val="none" w:sz="0" w:space="0" w:color="auto"/>
        <w:right w:val="none" w:sz="0" w:space="0" w:color="auto"/>
      </w:divBdr>
    </w:div>
    <w:div w:id="1448623001">
      <w:bodyDiv w:val="1"/>
      <w:marLeft w:val="0"/>
      <w:marRight w:val="0"/>
      <w:marTop w:val="0"/>
      <w:marBottom w:val="0"/>
      <w:divBdr>
        <w:top w:val="none" w:sz="0" w:space="0" w:color="auto"/>
        <w:left w:val="none" w:sz="0" w:space="0" w:color="auto"/>
        <w:bottom w:val="none" w:sz="0" w:space="0" w:color="auto"/>
        <w:right w:val="none" w:sz="0" w:space="0" w:color="auto"/>
      </w:divBdr>
    </w:div>
    <w:div w:id="1548763500">
      <w:bodyDiv w:val="1"/>
      <w:marLeft w:val="0"/>
      <w:marRight w:val="0"/>
      <w:marTop w:val="0"/>
      <w:marBottom w:val="0"/>
      <w:divBdr>
        <w:top w:val="none" w:sz="0" w:space="0" w:color="auto"/>
        <w:left w:val="none" w:sz="0" w:space="0" w:color="auto"/>
        <w:bottom w:val="none" w:sz="0" w:space="0" w:color="auto"/>
        <w:right w:val="none" w:sz="0" w:space="0" w:color="auto"/>
      </w:divBdr>
    </w:div>
    <w:div w:id="1559702008">
      <w:bodyDiv w:val="1"/>
      <w:marLeft w:val="0"/>
      <w:marRight w:val="0"/>
      <w:marTop w:val="0"/>
      <w:marBottom w:val="0"/>
      <w:divBdr>
        <w:top w:val="none" w:sz="0" w:space="0" w:color="auto"/>
        <w:left w:val="none" w:sz="0" w:space="0" w:color="auto"/>
        <w:bottom w:val="none" w:sz="0" w:space="0" w:color="auto"/>
        <w:right w:val="none" w:sz="0" w:space="0" w:color="auto"/>
      </w:divBdr>
    </w:div>
    <w:div w:id="1560627063">
      <w:bodyDiv w:val="1"/>
      <w:marLeft w:val="0"/>
      <w:marRight w:val="0"/>
      <w:marTop w:val="0"/>
      <w:marBottom w:val="0"/>
      <w:divBdr>
        <w:top w:val="none" w:sz="0" w:space="0" w:color="auto"/>
        <w:left w:val="none" w:sz="0" w:space="0" w:color="auto"/>
        <w:bottom w:val="none" w:sz="0" w:space="0" w:color="auto"/>
        <w:right w:val="none" w:sz="0" w:space="0" w:color="auto"/>
      </w:divBdr>
    </w:div>
    <w:div w:id="1596791737">
      <w:bodyDiv w:val="1"/>
      <w:marLeft w:val="0"/>
      <w:marRight w:val="0"/>
      <w:marTop w:val="0"/>
      <w:marBottom w:val="0"/>
      <w:divBdr>
        <w:top w:val="none" w:sz="0" w:space="0" w:color="auto"/>
        <w:left w:val="none" w:sz="0" w:space="0" w:color="auto"/>
        <w:bottom w:val="none" w:sz="0" w:space="0" w:color="auto"/>
        <w:right w:val="none" w:sz="0" w:space="0" w:color="auto"/>
      </w:divBdr>
    </w:div>
    <w:div w:id="1615557950">
      <w:bodyDiv w:val="1"/>
      <w:marLeft w:val="0"/>
      <w:marRight w:val="0"/>
      <w:marTop w:val="0"/>
      <w:marBottom w:val="0"/>
      <w:divBdr>
        <w:top w:val="none" w:sz="0" w:space="0" w:color="auto"/>
        <w:left w:val="none" w:sz="0" w:space="0" w:color="auto"/>
        <w:bottom w:val="none" w:sz="0" w:space="0" w:color="auto"/>
        <w:right w:val="none" w:sz="0" w:space="0" w:color="auto"/>
      </w:divBdr>
    </w:div>
    <w:div w:id="1664969077">
      <w:bodyDiv w:val="1"/>
      <w:marLeft w:val="0"/>
      <w:marRight w:val="0"/>
      <w:marTop w:val="0"/>
      <w:marBottom w:val="0"/>
      <w:divBdr>
        <w:top w:val="none" w:sz="0" w:space="0" w:color="auto"/>
        <w:left w:val="none" w:sz="0" w:space="0" w:color="auto"/>
        <w:bottom w:val="none" w:sz="0" w:space="0" w:color="auto"/>
        <w:right w:val="none" w:sz="0" w:space="0" w:color="auto"/>
      </w:divBdr>
    </w:div>
    <w:div w:id="1729650596">
      <w:bodyDiv w:val="1"/>
      <w:marLeft w:val="0"/>
      <w:marRight w:val="0"/>
      <w:marTop w:val="0"/>
      <w:marBottom w:val="0"/>
      <w:divBdr>
        <w:top w:val="none" w:sz="0" w:space="0" w:color="auto"/>
        <w:left w:val="none" w:sz="0" w:space="0" w:color="auto"/>
        <w:bottom w:val="none" w:sz="0" w:space="0" w:color="auto"/>
        <w:right w:val="none" w:sz="0" w:space="0" w:color="auto"/>
      </w:divBdr>
    </w:div>
    <w:div w:id="1747918452">
      <w:bodyDiv w:val="1"/>
      <w:marLeft w:val="0"/>
      <w:marRight w:val="0"/>
      <w:marTop w:val="0"/>
      <w:marBottom w:val="0"/>
      <w:divBdr>
        <w:top w:val="none" w:sz="0" w:space="0" w:color="auto"/>
        <w:left w:val="none" w:sz="0" w:space="0" w:color="auto"/>
        <w:bottom w:val="none" w:sz="0" w:space="0" w:color="auto"/>
        <w:right w:val="none" w:sz="0" w:space="0" w:color="auto"/>
      </w:divBdr>
    </w:div>
    <w:div w:id="1840387677">
      <w:bodyDiv w:val="1"/>
      <w:marLeft w:val="0"/>
      <w:marRight w:val="0"/>
      <w:marTop w:val="0"/>
      <w:marBottom w:val="0"/>
      <w:divBdr>
        <w:top w:val="none" w:sz="0" w:space="0" w:color="auto"/>
        <w:left w:val="none" w:sz="0" w:space="0" w:color="auto"/>
        <w:bottom w:val="none" w:sz="0" w:space="0" w:color="auto"/>
        <w:right w:val="none" w:sz="0" w:space="0" w:color="auto"/>
      </w:divBdr>
      <w:divsChild>
        <w:div w:id="1919749417">
          <w:marLeft w:val="0"/>
          <w:marRight w:val="0"/>
          <w:marTop w:val="0"/>
          <w:marBottom w:val="0"/>
          <w:divBdr>
            <w:top w:val="none" w:sz="0" w:space="0" w:color="auto"/>
            <w:left w:val="none" w:sz="0" w:space="0" w:color="auto"/>
            <w:bottom w:val="none" w:sz="0" w:space="0" w:color="auto"/>
            <w:right w:val="none" w:sz="0" w:space="0" w:color="auto"/>
          </w:divBdr>
          <w:divsChild>
            <w:div w:id="1507475543">
              <w:marLeft w:val="0"/>
              <w:marRight w:val="0"/>
              <w:marTop w:val="0"/>
              <w:marBottom w:val="0"/>
              <w:divBdr>
                <w:top w:val="none" w:sz="0" w:space="0" w:color="auto"/>
                <w:left w:val="none" w:sz="0" w:space="0" w:color="auto"/>
                <w:bottom w:val="none" w:sz="0" w:space="0" w:color="auto"/>
                <w:right w:val="none" w:sz="0" w:space="0" w:color="auto"/>
              </w:divBdr>
              <w:divsChild>
                <w:div w:id="1248224419">
                  <w:marLeft w:val="0"/>
                  <w:marRight w:val="0"/>
                  <w:marTop w:val="0"/>
                  <w:marBottom w:val="0"/>
                  <w:divBdr>
                    <w:top w:val="none" w:sz="0" w:space="0" w:color="auto"/>
                    <w:left w:val="none" w:sz="0" w:space="0" w:color="auto"/>
                    <w:bottom w:val="none" w:sz="0" w:space="0" w:color="auto"/>
                    <w:right w:val="none" w:sz="0" w:space="0" w:color="auto"/>
                  </w:divBdr>
                  <w:divsChild>
                    <w:div w:id="2075932564">
                      <w:marLeft w:val="0"/>
                      <w:marRight w:val="0"/>
                      <w:marTop w:val="0"/>
                      <w:marBottom w:val="0"/>
                      <w:divBdr>
                        <w:top w:val="none" w:sz="0" w:space="0" w:color="auto"/>
                        <w:left w:val="none" w:sz="0" w:space="0" w:color="auto"/>
                        <w:bottom w:val="none" w:sz="0" w:space="0" w:color="auto"/>
                        <w:right w:val="none" w:sz="0" w:space="0" w:color="auto"/>
                      </w:divBdr>
                      <w:divsChild>
                        <w:div w:id="1387483672">
                          <w:marLeft w:val="0"/>
                          <w:marRight w:val="0"/>
                          <w:marTop w:val="0"/>
                          <w:marBottom w:val="0"/>
                          <w:divBdr>
                            <w:top w:val="none" w:sz="0" w:space="0" w:color="auto"/>
                            <w:left w:val="none" w:sz="0" w:space="0" w:color="auto"/>
                            <w:bottom w:val="none" w:sz="0" w:space="0" w:color="auto"/>
                            <w:right w:val="none" w:sz="0" w:space="0" w:color="auto"/>
                          </w:divBdr>
                          <w:divsChild>
                            <w:div w:id="1870801978">
                              <w:marLeft w:val="0"/>
                              <w:marRight w:val="0"/>
                              <w:marTop w:val="0"/>
                              <w:marBottom w:val="0"/>
                              <w:divBdr>
                                <w:top w:val="none" w:sz="0" w:space="0" w:color="auto"/>
                                <w:left w:val="none" w:sz="0" w:space="0" w:color="auto"/>
                                <w:bottom w:val="none" w:sz="0" w:space="0" w:color="auto"/>
                                <w:right w:val="none" w:sz="0" w:space="0" w:color="auto"/>
                              </w:divBdr>
                              <w:divsChild>
                                <w:div w:id="1451318558">
                                  <w:marLeft w:val="0"/>
                                  <w:marRight w:val="0"/>
                                  <w:marTop w:val="0"/>
                                  <w:marBottom w:val="0"/>
                                  <w:divBdr>
                                    <w:top w:val="none" w:sz="0" w:space="0" w:color="auto"/>
                                    <w:left w:val="none" w:sz="0" w:space="0" w:color="auto"/>
                                    <w:bottom w:val="none" w:sz="0" w:space="0" w:color="auto"/>
                                    <w:right w:val="none" w:sz="0" w:space="0" w:color="auto"/>
                                  </w:divBdr>
                                  <w:divsChild>
                                    <w:div w:id="112912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534400">
      <w:bodyDiv w:val="1"/>
      <w:marLeft w:val="0"/>
      <w:marRight w:val="0"/>
      <w:marTop w:val="0"/>
      <w:marBottom w:val="0"/>
      <w:divBdr>
        <w:top w:val="none" w:sz="0" w:space="0" w:color="auto"/>
        <w:left w:val="none" w:sz="0" w:space="0" w:color="auto"/>
        <w:bottom w:val="none" w:sz="0" w:space="0" w:color="auto"/>
        <w:right w:val="none" w:sz="0" w:space="0" w:color="auto"/>
      </w:divBdr>
    </w:div>
    <w:div w:id="1968390401">
      <w:bodyDiv w:val="1"/>
      <w:marLeft w:val="0"/>
      <w:marRight w:val="0"/>
      <w:marTop w:val="0"/>
      <w:marBottom w:val="0"/>
      <w:divBdr>
        <w:top w:val="none" w:sz="0" w:space="0" w:color="auto"/>
        <w:left w:val="none" w:sz="0" w:space="0" w:color="auto"/>
        <w:bottom w:val="none" w:sz="0" w:space="0" w:color="auto"/>
        <w:right w:val="none" w:sz="0" w:space="0" w:color="auto"/>
      </w:divBdr>
    </w:div>
    <w:div w:id="2046909012">
      <w:bodyDiv w:val="1"/>
      <w:marLeft w:val="0"/>
      <w:marRight w:val="0"/>
      <w:marTop w:val="0"/>
      <w:marBottom w:val="0"/>
      <w:divBdr>
        <w:top w:val="none" w:sz="0" w:space="0" w:color="auto"/>
        <w:left w:val="none" w:sz="0" w:space="0" w:color="auto"/>
        <w:bottom w:val="none" w:sz="0" w:space="0" w:color="auto"/>
        <w:right w:val="none" w:sz="0" w:space="0" w:color="auto"/>
      </w:divBdr>
    </w:div>
    <w:div w:id="2057044802">
      <w:bodyDiv w:val="1"/>
      <w:marLeft w:val="0"/>
      <w:marRight w:val="0"/>
      <w:marTop w:val="0"/>
      <w:marBottom w:val="0"/>
      <w:divBdr>
        <w:top w:val="none" w:sz="0" w:space="0" w:color="auto"/>
        <w:left w:val="none" w:sz="0" w:space="0" w:color="auto"/>
        <w:bottom w:val="none" w:sz="0" w:space="0" w:color="auto"/>
        <w:right w:val="none" w:sz="0" w:space="0" w:color="auto"/>
      </w:divBdr>
    </w:div>
    <w:div w:id="211046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atasolutions.altusgroup.com/download-toronto-flash-report-201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titus@getproof.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eff.hayward@altusgroup.com" TargetMode="External"/><Relationship Id="rId4" Type="http://schemas.openxmlformats.org/officeDocument/2006/relationships/settings" Target="settings.xml"/><Relationship Id="rId9" Type="http://schemas.openxmlformats.org/officeDocument/2006/relationships/hyperlink" Target="http://www.altusgroup.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9AB7D-883B-4779-8DA7-F20262E27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1122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Altus Letter</vt:lpstr>
    </vt:vector>
  </TitlesOfParts>
  <Company>Hewlett-Packard Company</Company>
  <LinksUpToDate>false</LinksUpToDate>
  <CharactersWithSpaces>7564</CharactersWithSpaces>
  <SharedDoc>false</SharedDoc>
  <HLinks>
    <vt:vector size="6" baseType="variant">
      <vt:variant>
        <vt:i4>2359359</vt:i4>
      </vt:variant>
      <vt:variant>
        <vt:i4>0</vt:i4>
      </vt:variant>
      <vt:variant>
        <vt:i4>0</vt:i4>
      </vt:variant>
      <vt:variant>
        <vt:i4>5</vt:i4>
      </vt:variant>
      <vt:variant>
        <vt:lpwstr>http://www.altusgroup.com/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Altus Letter</dc:title>
  <dc:creator>valjil</dc:creator>
  <cp:lastModifiedBy>Elizabeth Lambe</cp:lastModifiedBy>
  <cp:revision>3</cp:revision>
  <cp:lastPrinted>2019-01-31T21:40:00Z</cp:lastPrinted>
  <dcterms:created xsi:type="dcterms:W3CDTF">2019-01-31T21:39:00Z</dcterms:created>
  <dcterms:modified xsi:type="dcterms:W3CDTF">2019-01-31T22:07:00Z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NoAuthor">
    <vt:lpwstr>NO</vt:lpwstr>
  </property>
  <property fmtid="{D5CDD505-2E9C-101B-9397-08002B2CF9AE}" pid="3" name="DocIDVersionNum">
    <vt:lpwstr>NO</vt:lpwstr>
  </property>
  <property fmtid="{D5CDD505-2E9C-101B-9397-08002B2CF9AE}" pid="4" name="DocIDLibraryName">
    <vt:lpwstr>NO</vt:lpwstr>
  </property>
  <property fmtid="{D5CDD505-2E9C-101B-9397-08002B2CF9AE}" pid="5" name="DocIDAutoUpdate">
    <vt:lpwstr>LAST</vt:lpwstr>
  </property>
  <property fmtid="{D5CDD505-2E9C-101B-9397-08002B2CF9AE}" pid="6" name="DocsID">
    <vt:lpwstr>\6062652</vt:lpwstr>
  </property>
</Properties>
</file>