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C8" w:rsidRPr="00364918" w:rsidRDefault="00364918" w:rsidP="00364918">
      <w:pPr>
        <w:spacing w:after="0"/>
        <w:rPr>
          <w:b/>
          <w:lang w:val="et-EE"/>
        </w:rPr>
      </w:pPr>
      <w:r w:rsidRPr="00364918">
        <w:rPr>
          <w:b/>
          <w:lang w:val="et-EE"/>
        </w:rPr>
        <w:t>Juhtimiskohustusi täitvate isikute tehingud</w:t>
      </w:r>
    </w:p>
    <w:p w:rsidR="00364918" w:rsidRDefault="00364918" w:rsidP="00364918">
      <w:pPr>
        <w:spacing w:after="0"/>
        <w:rPr>
          <w:lang w:val="et-EE"/>
        </w:rPr>
      </w:pP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Isik, kelle suhtes kehtib tehingutest teavitamise nõue</w:t>
      </w: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 xml:space="preserve">Nimi: </w:t>
      </w:r>
      <w:r w:rsidR="00B71742">
        <w:rPr>
          <w:lang w:val="et-EE"/>
        </w:rPr>
        <w:t xml:space="preserve">OÜ </w:t>
      </w:r>
      <w:proofErr w:type="spellStart"/>
      <w:r w:rsidR="00B71742">
        <w:rPr>
          <w:lang w:val="et-EE"/>
        </w:rPr>
        <w:t>Mersok</w:t>
      </w:r>
      <w:proofErr w:type="spellEnd"/>
      <w:r w:rsidR="00B71742">
        <w:rPr>
          <w:lang w:val="et-EE"/>
        </w:rPr>
        <w:t xml:space="preserve"> </w:t>
      </w:r>
    </w:p>
    <w:p w:rsid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 xml:space="preserve">Positsioon: </w:t>
      </w:r>
      <w:r w:rsidR="00B71742">
        <w:rPr>
          <w:lang w:val="et-EE"/>
        </w:rPr>
        <w:t>Lähedalt seotud isik</w:t>
      </w:r>
    </w:p>
    <w:p w:rsidR="00B71742" w:rsidRDefault="00B71742" w:rsidP="00B71742">
      <w:pPr>
        <w:spacing w:after="0"/>
      </w:pPr>
      <w:r w:rsidRPr="00980462">
        <w:t xml:space="preserve">(X) </w:t>
      </w:r>
      <w:proofErr w:type="spellStart"/>
      <w:r w:rsidRPr="00980462">
        <w:t>Juriidiline</w:t>
      </w:r>
      <w:proofErr w:type="spellEnd"/>
      <w:r w:rsidRPr="00980462">
        <w:t xml:space="preserve"> </w:t>
      </w:r>
      <w:proofErr w:type="spellStart"/>
      <w:r w:rsidRPr="00980462">
        <w:t>isik</w:t>
      </w:r>
      <w:proofErr w:type="spellEnd"/>
    </w:p>
    <w:p w:rsidR="00364918" w:rsidRDefault="00364918" w:rsidP="00364918">
      <w:pPr>
        <w:spacing w:after="0"/>
        <w:rPr>
          <w:lang w:val="et-EE"/>
        </w:rPr>
      </w:pPr>
    </w:p>
    <w:p w:rsidR="00B71742" w:rsidRPr="00FF0691" w:rsidRDefault="00B71742" w:rsidP="00B71742">
      <w:pPr>
        <w:spacing w:after="0"/>
      </w:pPr>
      <w:proofErr w:type="spellStart"/>
      <w:r w:rsidRPr="00FF0691">
        <w:t>Emitendis</w:t>
      </w:r>
      <w:proofErr w:type="spellEnd"/>
      <w:r w:rsidRPr="00FF0691">
        <w:t xml:space="preserve"> </w:t>
      </w:r>
      <w:proofErr w:type="spellStart"/>
      <w:r w:rsidRPr="00FF0691">
        <w:t>juhtimiskohustusi</w:t>
      </w:r>
      <w:proofErr w:type="spellEnd"/>
      <w:r w:rsidRPr="00FF0691">
        <w:t xml:space="preserve"> </w:t>
      </w:r>
      <w:proofErr w:type="spellStart"/>
      <w:r w:rsidRPr="00FF0691">
        <w:t>täitev</w:t>
      </w:r>
      <w:proofErr w:type="spellEnd"/>
      <w:r w:rsidRPr="00FF0691">
        <w:t xml:space="preserve"> </w:t>
      </w:r>
      <w:proofErr w:type="spellStart"/>
      <w:r w:rsidRPr="00FF0691">
        <w:t>isik</w:t>
      </w:r>
      <w:proofErr w:type="spellEnd"/>
      <w:r w:rsidRPr="00FF0691">
        <w:t>:</w:t>
      </w:r>
    </w:p>
    <w:p w:rsidR="00B71742" w:rsidRPr="00FF0691" w:rsidRDefault="00B71742" w:rsidP="00B71742">
      <w:pPr>
        <w:spacing w:after="0"/>
      </w:pPr>
      <w:proofErr w:type="spellStart"/>
      <w:r w:rsidRPr="00FF0691">
        <w:t>Nimi</w:t>
      </w:r>
      <w:proofErr w:type="spellEnd"/>
      <w:r w:rsidRPr="00FF0691">
        <w:t>: Pant, Eve</w:t>
      </w:r>
    </w:p>
    <w:p w:rsidR="00B71742" w:rsidRPr="00E328AC" w:rsidRDefault="00B71742" w:rsidP="00B71742">
      <w:pPr>
        <w:spacing w:after="0"/>
      </w:pPr>
      <w:proofErr w:type="spellStart"/>
      <w:r w:rsidRPr="00FF0691">
        <w:t>Positsioon</w:t>
      </w:r>
      <w:proofErr w:type="spellEnd"/>
      <w:r w:rsidRPr="00FF0691">
        <w:t xml:space="preserve">: </w:t>
      </w:r>
      <w:proofErr w:type="spellStart"/>
      <w:r w:rsidRPr="00FF0691">
        <w:t>Nõukogu</w:t>
      </w:r>
      <w:proofErr w:type="spellEnd"/>
      <w:r w:rsidRPr="00FF0691">
        <w:t xml:space="preserve"> </w:t>
      </w:r>
      <w:proofErr w:type="spellStart"/>
      <w:r w:rsidRPr="00FF0691">
        <w:t>liige</w:t>
      </w:r>
      <w:proofErr w:type="spellEnd"/>
    </w:p>
    <w:p w:rsidR="00B71742" w:rsidRDefault="00B71742" w:rsidP="00364918">
      <w:pPr>
        <w:spacing w:after="0"/>
        <w:rPr>
          <w:lang w:val="et-EE"/>
        </w:rPr>
      </w:pP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Emitent: AS Tallink Grupp</w:t>
      </w: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LEI: 529900QRMWAKKR3L9W75</w:t>
      </w:r>
    </w:p>
    <w:p w:rsidR="00364918" w:rsidRPr="00364918" w:rsidRDefault="00364918" w:rsidP="00364918">
      <w:pPr>
        <w:spacing w:after="0"/>
        <w:rPr>
          <w:lang w:val="et-EE"/>
        </w:rPr>
      </w:pP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Teavituse liik: Algne teade</w:t>
      </w:r>
    </w:p>
    <w:p w:rsidR="00364918" w:rsidRPr="00364918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_____________________________________</w:t>
      </w:r>
    </w:p>
    <w:p w:rsidR="00364918" w:rsidRPr="00364918" w:rsidRDefault="00364918" w:rsidP="00364918">
      <w:pPr>
        <w:spacing w:after="0"/>
        <w:rPr>
          <w:lang w:val="et-EE"/>
        </w:rPr>
      </w:pPr>
    </w:p>
    <w:p w:rsidR="00364918" w:rsidRPr="00753B6C" w:rsidRDefault="00364918" w:rsidP="00364918">
      <w:pPr>
        <w:spacing w:after="0"/>
        <w:rPr>
          <w:lang w:val="et-EE"/>
        </w:rPr>
      </w:pPr>
      <w:r w:rsidRPr="00364918">
        <w:rPr>
          <w:lang w:val="et-EE"/>
        </w:rPr>
        <w:t>Tehingu ku</w:t>
      </w:r>
      <w:r w:rsidRPr="00753B6C">
        <w:rPr>
          <w:lang w:val="et-EE"/>
        </w:rPr>
        <w:t>upäev: 1</w:t>
      </w:r>
      <w:r w:rsidR="00B71742">
        <w:rPr>
          <w:lang w:val="et-EE"/>
        </w:rPr>
        <w:t>7</w:t>
      </w:r>
      <w:r w:rsidRPr="00753B6C">
        <w:rPr>
          <w:lang w:val="et-EE"/>
        </w:rPr>
        <w:t>.0</w:t>
      </w:r>
      <w:r w:rsidR="00B71742">
        <w:rPr>
          <w:lang w:val="et-EE"/>
        </w:rPr>
        <w:t>9</w:t>
      </w:r>
      <w:r w:rsidRPr="00753B6C">
        <w:rPr>
          <w:lang w:val="et-EE"/>
        </w:rPr>
        <w:t>.2019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 xml:space="preserve">Tehingu koht: </w:t>
      </w:r>
      <w:proofErr w:type="spellStart"/>
      <w:r w:rsidR="00B71742" w:rsidRPr="00B71742">
        <w:rPr>
          <w:lang w:val="et-EE"/>
        </w:rPr>
        <w:t>Nasdaq</w:t>
      </w:r>
      <w:proofErr w:type="spellEnd"/>
      <w:r w:rsidR="00B71742" w:rsidRPr="00B71742">
        <w:rPr>
          <w:lang w:val="et-EE"/>
        </w:rPr>
        <w:t xml:space="preserve"> OMX Tallinn</w:t>
      </w:r>
    </w:p>
    <w:p w:rsidR="00364918" w:rsidRPr="00753B6C" w:rsidRDefault="00364918" w:rsidP="00753B6C">
      <w:pPr>
        <w:spacing w:after="0"/>
        <w:ind w:left="1304" w:hanging="1304"/>
        <w:rPr>
          <w:lang w:val="et-EE"/>
        </w:rPr>
      </w:pPr>
      <w:r w:rsidRPr="00753B6C">
        <w:rPr>
          <w:lang w:val="et-EE"/>
        </w:rPr>
        <w:t>Instrumendi liik: Aktsia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ISIN: EE3100004466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Tehingu liik: Omandamine</w:t>
      </w:r>
    </w:p>
    <w:p w:rsidR="00364918" w:rsidRPr="00753B6C" w:rsidRDefault="00364918" w:rsidP="00364918">
      <w:pPr>
        <w:spacing w:after="0"/>
        <w:rPr>
          <w:lang w:val="et-EE"/>
        </w:rPr>
      </w:pP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Tehingute teave:</w:t>
      </w:r>
    </w:p>
    <w:p w:rsidR="00B71742" w:rsidRPr="00753B6C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 xml:space="preserve">(1): Maht: </w:t>
      </w:r>
      <w:r>
        <w:rPr>
          <w:lang w:val="et-EE"/>
        </w:rPr>
        <w:t>22</w:t>
      </w:r>
      <w:r w:rsidR="00FF0691">
        <w:rPr>
          <w:lang w:val="et-EE"/>
        </w:rPr>
        <w:t> </w:t>
      </w:r>
      <w:r>
        <w:rPr>
          <w:lang w:val="et-EE"/>
        </w:rPr>
        <w:t>932</w:t>
      </w:r>
      <w:r w:rsidRPr="00753B6C">
        <w:rPr>
          <w:lang w:val="et-EE"/>
        </w:rPr>
        <w:t xml:space="preserve"> Hind: </w:t>
      </w:r>
      <w:r>
        <w:rPr>
          <w:lang w:val="et-EE"/>
        </w:rPr>
        <w:t>0,928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2</w:t>
      </w:r>
      <w:r w:rsidRPr="00753B6C">
        <w:rPr>
          <w:lang w:val="et-EE"/>
        </w:rPr>
        <w:t xml:space="preserve">): Maht: </w:t>
      </w:r>
      <w:r>
        <w:rPr>
          <w:lang w:val="et-EE"/>
        </w:rPr>
        <w:t>34 612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3</w:t>
      </w:r>
      <w:r w:rsidRPr="00753B6C">
        <w:rPr>
          <w:lang w:val="et-EE"/>
        </w:rPr>
        <w:t xml:space="preserve">): Maht: </w:t>
      </w:r>
      <w:r>
        <w:rPr>
          <w:lang w:val="et-EE"/>
        </w:rPr>
        <w:t>5 000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0,928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4</w:t>
      </w:r>
      <w:r w:rsidRPr="00753B6C">
        <w:rPr>
          <w:lang w:val="et-EE"/>
        </w:rPr>
        <w:t xml:space="preserve">): Maht: </w:t>
      </w:r>
      <w:r>
        <w:rPr>
          <w:lang w:val="et-EE"/>
        </w:rPr>
        <w:t>20 953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5</w:t>
      </w:r>
      <w:r w:rsidRPr="00753B6C">
        <w:rPr>
          <w:lang w:val="et-EE"/>
        </w:rPr>
        <w:t xml:space="preserve">): Maht: </w:t>
      </w:r>
      <w:r>
        <w:rPr>
          <w:lang w:val="et-EE"/>
        </w:rPr>
        <w:t>5 000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6</w:t>
      </w:r>
      <w:r w:rsidRPr="00753B6C">
        <w:rPr>
          <w:lang w:val="et-EE"/>
        </w:rPr>
        <w:t xml:space="preserve">): Maht: </w:t>
      </w:r>
      <w:r>
        <w:rPr>
          <w:lang w:val="et-EE"/>
        </w:rPr>
        <w:t xml:space="preserve">11 513 </w:t>
      </w:r>
      <w:r w:rsidRPr="00753B6C">
        <w:rPr>
          <w:lang w:val="et-EE"/>
        </w:rPr>
        <w:t xml:space="preserve">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7</w:t>
      </w:r>
      <w:r w:rsidRPr="00753B6C">
        <w:rPr>
          <w:lang w:val="et-EE"/>
        </w:rPr>
        <w:t xml:space="preserve">): Maht: </w:t>
      </w:r>
      <w:r>
        <w:rPr>
          <w:lang w:val="et-EE"/>
        </w:rPr>
        <w:t>5 000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8</w:t>
      </w:r>
      <w:r w:rsidRPr="00753B6C">
        <w:rPr>
          <w:lang w:val="et-EE"/>
        </w:rPr>
        <w:t xml:space="preserve">): Maht: </w:t>
      </w:r>
      <w:r>
        <w:rPr>
          <w:lang w:val="et-EE"/>
        </w:rPr>
        <w:t>8 943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9</w:t>
      </w:r>
      <w:r w:rsidRPr="00753B6C">
        <w:rPr>
          <w:lang w:val="et-EE"/>
        </w:rPr>
        <w:t xml:space="preserve">): Maht: </w:t>
      </w:r>
      <w:r>
        <w:rPr>
          <w:lang w:val="et-EE"/>
        </w:rPr>
        <w:t>150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10</w:t>
      </w:r>
      <w:r w:rsidRPr="00753B6C">
        <w:rPr>
          <w:lang w:val="et-EE"/>
        </w:rPr>
        <w:t xml:space="preserve">): Maht: </w:t>
      </w:r>
      <w:r>
        <w:rPr>
          <w:lang w:val="et-EE"/>
        </w:rPr>
        <w:t>468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11</w:t>
      </w:r>
      <w:r w:rsidRPr="00753B6C">
        <w:rPr>
          <w:lang w:val="et-EE"/>
        </w:rPr>
        <w:t xml:space="preserve">): Maht: </w:t>
      </w:r>
      <w:r>
        <w:rPr>
          <w:lang w:val="et-EE"/>
        </w:rPr>
        <w:t>43</w:t>
      </w:r>
      <w:r w:rsidRPr="00753B6C">
        <w:rPr>
          <w:lang w:val="et-EE"/>
        </w:rPr>
        <w:t xml:space="preserve"> </w:t>
      </w:r>
      <w:r>
        <w:rPr>
          <w:lang w:val="et-EE"/>
        </w:rPr>
        <w:t>179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B71742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12</w:t>
      </w:r>
      <w:r w:rsidRPr="00753B6C">
        <w:rPr>
          <w:lang w:val="et-EE"/>
        </w:rPr>
        <w:t xml:space="preserve">): Maht: </w:t>
      </w:r>
      <w:r>
        <w:rPr>
          <w:lang w:val="et-EE"/>
        </w:rPr>
        <w:t>1</w:t>
      </w:r>
      <w:r w:rsidRPr="00753B6C">
        <w:rPr>
          <w:lang w:val="et-EE"/>
        </w:rPr>
        <w:t xml:space="preserve"> </w:t>
      </w:r>
      <w:r>
        <w:rPr>
          <w:lang w:val="et-EE"/>
        </w:rPr>
        <w:t>439</w:t>
      </w:r>
      <w:r w:rsidRPr="00753B6C">
        <w:rPr>
          <w:lang w:val="et-EE"/>
        </w:rPr>
        <w:t xml:space="preserve"> Hind: </w:t>
      </w:r>
      <w:r>
        <w:rPr>
          <w:lang w:val="et-EE"/>
        </w:rPr>
        <w:t>0,932</w:t>
      </w:r>
      <w:r w:rsidRPr="00753B6C">
        <w:rPr>
          <w:lang w:val="et-EE"/>
        </w:rPr>
        <w:t xml:space="preserve"> EUR</w:t>
      </w:r>
    </w:p>
    <w:p w:rsidR="00364918" w:rsidRDefault="00B71742" w:rsidP="00B71742">
      <w:pPr>
        <w:spacing w:after="0"/>
        <w:rPr>
          <w:lang w:val="et-EE"/>
        </w:rPr>
      </w:pPr>
      <w:r w:rsidRPr="00753B6C">
        <w:rPr>
          <w:lang w:val="et-EE"/>
        </w:rPr>
        <w:t>(1</w:t>
      </w:r>
      <w:r>
        <w:rPr>
          <w:lang w:val="et-EE"/>
        </w:rPr>
        <w:t>3</w:t>
      </w:r>
      <w:r w:rsidRPr="00753B6C">
        <w:rPr>
          <w:lang w:val="et-EE"/>
        </w:rPr>
        <w:t xml:space="preserve">): Maht: </w:t>
      </w:r>
      <w:r>
        <w:rPr>
          <w:lang w:val="et-EE"/>
        </w:rPr>
        <w:t>19</w:t>
      </w:r>
      <w:r w:rsidRPr="00753B6C">
        <w:rPr>
          <w:lang w:val="et-EE"/>
        </w:rPr>
        <w:t xml:space="preserve"> </w:t>
      </w:r>
      <w:r>
        <w:rPr>
          <w:lang w:val="et-EE"/>
        </w:rPr>
        <w:t>382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364918" w:rsidRPr="00753B6C" w:rsidRDefault="00364918" w:rsidP="00364918">
      <w:pPr>
        <w:spacing w:after="0"/>
        <w:rPr>
          <w:lang w:val="et-EE"/>
        </w:rPr>
      </w:pP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Tehingute koondteave: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(1</w:t>
      </w:r>
      <w:r w:rsidR="00B71742">
        <w:rPr>
          <w:lang w:val="et-EE"/>
        </w:rPr>
        <w:t>3</w:t>
      </w:r>
      <w:r w:rsidRPr="00753B6C">
        <w:rPr>
          <w:lang w:val="et-EE"/>
        </w:rPr>
        <w:t xml:space="preserve">): Maht: </w:t>
      </w:r>
      <w:r w:rsidR="00B71742">
        <w:rPr>
          <w:lang w:val="et-EE"/>
        </w:rPr>
        <w:t>178</w:t>
      </w:r>
      <w:r w:rsidRPr="00753B6C">
        <w:rPr>
          <w:lang w:val="et-EE"/>
        </w:rPr>
        <w:t xml:space="preserve"> </w:t>
      </w:r>
      <w:r w:rsidR="00B71742">
        <w:rPr>
          <w:lang w:val="et-EE"/>
        </w:rPr>
        <w:t>561</w:t>
      </w:r>
      <w:r w:rsidRPr="00753B6C">
        <w:rPr>
          <w:lang w:val="et-EE"/>
        </w:rPr>
        <w:t xml:space="preserve">; kaalutud keskmine hind: </w:t>
      </w:r>
      <w:r w:rsidR="00B71742">
        <w:rPr>
          <w:lang w:val="et-EE"/>
        </w:rPr>
        <w:t>0</w:t>
      </w:r>
      <w:r w:rsidRPr="00753B6C">
        <w:rPr>
          <w:lang w:val="et-EE"/>
        </w:rPr>
        <w:t>,</w:t>
      </w:r>
      <w:r w:rsidR="00B71742">
        <w:rPr>
          <w:lang w:val="et-EE"/>
        </w:rPr>
        <w:t>9297</w:t>
      </w:r>
      <w:r w:rsidRPr="00753B6C">
        <w:rPr>
          <w:lang w:val="et-EE"/>
        </w:rPr>
        <w:t xml:space="preserve"> EUR</w:t>
      </w:r>
    </w:p>
    <w:p w:rsidR="00364918" w:rsidRDefault="00364918" w:rsidP="00364918">
      <w:pPr>
        <w:spacing w:after="0"/>
        <w:rPr>
          <w:lang w:val="et-EE"/>
        </w:rPr>
      </w:pPr>
    </w:p>
    <w:p w:rsidR="00FF0691" w:rsidRDefault="00FF0691" w:rsidP="00364918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364918">
        <w:rPr>
          <w:lang w:val="et-EE"/>
        </w:rPr>
        <w:t>Tehingu ku</w:t>
      </w:r>
      <w:r w:rsidRPr="00753B6C">
        <w:rPr>
          <w:lang w:val="et-EE"/>
        </w:rPr>
        <w:t>upäev: 1</w:t>
      </w:r>
      <w:r>
        <w:rPr>
          <w:lang w:val="et-EE"/>
        </w:rPr>
        <w:t>8</w:t>
      </w:r>
      <w:r w:rsidRPr="00753B6C">
        <w:rPr>
          <w:lang w:val="et-EE"/>
        </w:rPr>
        <w:t>.0</w:t>
      </w:r>
      <w:r>
        <w:rPr>
          <w:lang w:val="et-EE"/>
        </w:rPr>
        <w:t>9</w:t>
      </w:r>
      <w:r w:rsidRPr="00753B6C">
        <w:rPr>
          <w:lang w:val="et-EE"/>
        </w:rPr>
        <w:t>.2019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 xml:space="preserve">Tehingu koht: </w:t>
      </w:r>
      <w:proofErr w:type="spellStart"/>
      <w:r w:rsidRPr="00B71742">
        <w:rPr>
          <w:lang w:val="et-EE"/>
        </w:rPr>
        <w:t>Nasdaq</w:t>
      </w:r>
      <w:proofErr w:type="spellEnd"/>
      <w:r w:rsidRPr="00B71742">
        <w:rPr>
          <w:lang w:val="et-EE"/>
        </w:rPr>
        <w:t xml:space="preserve"> OMX Tallinn</w:t>
      </w:r>
    </w:p>
    <w:p w:rsidR="00FF0691" w:rsidRPr="00753B6C" w:rsidRDefault="00FF0691" w:rsidP="00FF0691">
      <w:pPr>
        <w:spacing w:after="0"/>
        <w:ind w:left="1304" w:hanging="1304"/>
        <w:rPr>
          <w:lang w:val="et-EE"/>
        </w:rPr>
      </w:pPr>
      <w:r w:rsidRPr="00753B6C">
        <w:rPr>
          <w:lang w:val="et-EE"/>
        </w:rPr>
        <w:t>Instrumendi liik: Aktsia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ISIN: EE3100004466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 liik: Omandamine</w:t>
      </w:r>
    </w:p>
    <w:p w:rsidR="00FF0691" w:rsidRPr="00753B6C" w:rsidRDefault="00FF0691" w:rsidP="00FF0691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Tehingute teave: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 xml:space="preserve">(1): Maht: </w:t>
      </w:r>
      <w:r>
        <w:rPr>
          <w:lang w:val="et-EE"/>
        </w:rPr>
        <w:t>4 000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2</w:t>
      </w:r>
      <w:r w:rsidRPr="00753B6C">
        <w:rPr>
          <w:lang w:val="et-EE"/>
        </w:rPr>
        <w:t xml:space="preserve">): Maht: </w:t>
      </w:r>
      <w:r>
        <w:rPr>
          <w:lang w:val="et-EE"/>
        </w:rPr>
        <w:t>25 000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0,936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3</w:t>
      </w:r>
      <w:r w:rsidRPr="00753B6C">
        <w:rPr>
          <w:lang w:val="et-EE"/>
        </w:rPr>
        <w:t xml:space="preserve">): Maht: </w:t>
      </w:r>
      <w:r>
        <w:rPr>
          <w:lang w:val="et-EE"/>
        </w:rPr>
        <w:t>1 000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4</w:t>
      </w:r>
      <w:r w:rsidRPr="00753B6C">
        <w:rPr>
          <w:lang w:val="et-EE"/>
        </w:rPr>
        <w:t xml:space="preserve">): Maht: </w:t>
      </w:r>
      <w:r>
        <w:rPr>
          <w:lang w:val="et-EE"/>
        </w:rPr>
        <w:t>5 379</w:t>
      </w:r>
      <w:r w:rsidRPr="00753B6C">
        <w:rPr>
          <w:lang w:val="et-EE"/>
        </w:rPr>
        <w:t xml:space="preserve"> Hind: </w:t>
      </w:r>
      <w:r>
        <w:rPr>
          <w:lang w:val="et-EE"/>
        </w:rPr>
        <w:t>0,936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lastRenderedPageBreak/>
        <w:t>(</w:t>
      </w:r>
      <w:r>
        <w:rPr>
          <w:lang w:val="et-EE"/>
        </w:rPr>
        <w:t>5</w:t>
      </w:r>
      <w:r w:rsidRPr="00753B6C">
        <w:rPr>
          <w:lang w:val="et-EE"/>
        </w:rPr>
        <w:t xml:space="preserve">): Maht: </w:t>
      </w:r>
      <w:r>
        <w:rPr>
          <w:lang w:val="et-EE"/>
        </w:rPr>
        <w:t>8 621</w:t>
      </w:r>
      <w:r w:rsidRPr="00753B6C">
        <w:rPr>
          <w:lang w:val="et-EE"/>
        </w:rPr>
        <w:t xml:space="preserve"> Hind: </w:t>
      </w:r>
      <w:r>
        <w:rPr>
          <w:lang w:val="et-EE"/>
        </w:rPr>
        <w:t>0,936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6</w:t>
      </w:r>
      <w:r w:rsidRPr="00753B6C">
        <w:rPr>
          <w:lang w:val="et-EE"/>
        </w:rPr>
        <w:t xml:space="preserve">): Maht: </w:t>
      </w:r>
      <w:r>
        <w:rPr>
          <w:lang w:val="et-EE"/>
        </w:rPr>
        <w:t xml:space="preserve">1 000 </w:t>
      </w:r>
      <w:r w:rsidRPr="00753B6C">
        <w:rPr>
          <w:lang w:val="et-EE"/>
        </w:rPr>
        <w:t xml:space="preserve">Hind: </w:t>
      </w:r>
      <w:r>
        <w:rPr>
          <w:lang w:val="et-EE"/>
        </w:rPr>
        <w:t>0,936</w:t>
      </w:r>
      <w:r w:rsidRPr="00753B6C">
        <w:rPr>
          <w:lang w:val="et-EE"/>
        </w:rPr>
        <w:t xml:space="preserve"> EUR</w:t>
      </w:r>
    </w:p>
    <w:p w:rsidR="00FF0691" w:rsidRPr="00753B6C" w:rsidRDefault="00FF0691" w:rsidP="00FF0691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Tehingute koondteave: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6</w:t>
      </w:r>
      <w:r w:rsidRPr="00753B6C">
        <w:rPr>
          <w:lang w:val="et-EE"/>
        </w:rPr>
        <w:t xml:space="preserve">): Maht: </w:t>
      </w:r>
      <w:r>
        <w:rPr>
          <w:lang w:val="et-EE"/>
        </w:rPr>
        <w:t>45</w:t>
      </w:r>
      <w:r w:rsidRPr="00753B6C">
        <w:rPr>
          <w:lang w:val="et-EE"/>
        </w:rPr>
        <w:t xml:space="preserve"> </w:t>
      </w:r>
      <w:r>
        <w:rPr>
          <w:lang w:val="et-EE"/>
        </w:rPr>
        <w:t>000</w:t>
      </w:r>
      <w:r w:rsidRPr="00753B6C">
        <w:rPr>
          <w:lang w:val="et-EE"/>
        </w:rPr>
        <w:t xml:space="preserve">; kaalutud keskmine hind: </w:t>
      </w:r>
      <w:r>
        <w:rPr>
          <w:lang w:val="et-EE"/>
        </w:rPr>
        <w:t>0</w:t>
      </w:r>
      <w:r w:rsidRPr="00753B6C">
        <w:rPr>
          <w:lang w:val="et-EE"/>
        </w:rPr>
        <w:t>,</w:t>
      </w:r>
      <w:r>
        <w:rPr>
          <w:lang w:val="et-EE"/>
        </w:rPr>
        <w:t>9354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</w:p>
    <w:p w:rsidR="00FF0691" w:rsidRDefault="00FF0691" w:rsidP="00FF0691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364918">
        <w:rPr>
          <w:lang w:val="et-EE"/>
        </w:rPr>
        <w:t>Tehingu ku</w:t>
      </w:r>
      <w:r w:rsidRPr="00753B6C">
        <w:rPr>
          <w:lang w:val="et-EE"/>
        </w:rPr>
        <w:t>upäev: 1</w:t>
      </w:r>
      <w:r>
        <w:rPr>
          <w:lang w:val="et-EE"/>
        </w:rPr>
        <w:t>9</w:t>
      </w:r>
      <w:r w:rsidRPr="00753B6C">
        <w:rPr>
          <w:lang w:val="et-EE"/>
        </w:rPr>
        <w:t>.0</w:t>
      </w:r>
      <w:r>
        <w:rPr>
          <w:lang w:val="et-EE"/>
        </w:rPr>
        <w:t>9</w:t>
      </w:r>
      <w:r w:rsidRPr="00753B6C">
        <w:rPr>
          <w:lang w:val="et-EE"/>
        </w:rPr>
        <w:t>.2019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 xml:space="preserve">Tehingu koht: </w:t>
      </w:r>
      <w:proofErr w:type="spellStart"/>
      <w:r w:rsidRPr="00B71742">
        <w:rPr>
          <w:lang w:val="et-EE"/>
        </w:rPr>
        <w:t>Nasdaq</w:t>
      </w:r>
      <w:proofErr w:type="spellEnd"/>
      <w:r w:rsidRPr="00B71742">
        <w:rPr>
          <w:lang w:val="et-EE"/>
        </w:rPr>
        <w:t xml:space="preserve"> OMX Tallinn</w:t>
      </w:r>
    </w:p>
    <w:p w:rsidR="00FF0691" w:rsidRPr="00753B6C" w:rsidRDefault="00FF0691" w:rsidP="00FF0691">
      <w:pPr>
        <w:spacing w:after="0"/>
        <w:ind w:left="1304" w:hanging="1304"/>
        <w:rPr>
          <w:lang w:val="et-EE"/>
        </w:rPr>
      </w:pPr>
      <w:r w:rsidRPr="00753B6C">
        <w:rPr>
          <w:lang w:val="et-EE"/>
        </w:rPr>
        <w:t>Instrumendi liik: Aktsia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ISIN: EE3100004466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 liik: Omandamine</w:t>
      </w:r>
    </w:p>
    <w:p w:rsidR="00FF0691" w:rsidRPr="00753B6C" w:rsidRDefault="00FF0691" w:rsidP="00FF0691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Tehingute teave: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 xml:space="preserve">(1): Maht: </w:t>
      </w:r>
      <w:r>
        <w:rPr>
          <w:lang w:val="et-EE"/>
        </w:rPr>
        <w:t>6 575</w:t>
      </w:r>
      <w:r w:rsidRPr="00753B6C">
        <w:rPr>
          <w:lang w:val="et-EE"/>
        </w:rPr>
        <w:t xml:space="preserve"> Hind: </w:t>
      </w:r>
      <w:r>
        <w:rPr>
          <w:lang w:val="et-EE"/>
        </w:rPr>
        <w:t>0,938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2</w:t>
      </w:r>
      <w:r w:rsidRPr="00753B6C">
        <w:rPr>
          <w:lang w:val="et-EE"/>
        </w:rPr>
        <w:t xml:space="preserve">): Maht: </w:t>
      </w:r>
      <w:r>
        <w:rPr>
          <w:lang w:val="et-EE"/>
        </w:rPr>
        <w:t>8 425</w:t>
      </w:r>
      <w:r w:rsidRPr="00753B6C">
        <w:rPr>
          <w:lang w:val="et-EE"/>
        </w:rPr>
        <w:t xml:space="preserve"> Hind: </w:t>
      </w:r>
      <w:r>
        <w:rPr>
          <w:lang w:val="et-EE"/>
        </w:rPr>
        <w:t>0,938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3</w:t>
      </w:r>
      <w:r w:rsidRPr="00753B6C">
        <w:rPr>
          <w:lang w:val="et-EE"/>
        </w:rPr>
        <w:t xml:space="preserve">): Maht: </w:t>
      </w:r>
      <w:r>
        <w:rPr>
          <w:lang w:val="et-EE"/>
        </w:rPr>
        <w:t>1 500</w:t>
      </w:r>
      <w:r w:rsidRPr="00753B6C">
        <w:rPr>
          <w:lang w:val="et-EE"/>
        </w:rPr>
        <w:t xml:space="preserve"> Hind: </w:t>
      </w:r>
      <w:r>
        <w:rPr>
          <w:lang w:val="et-EE"/>
        </w:rPr>
        <w:t>0,938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4</w:t>
      </w:r>
      <w:r w:rsidRPr="00753B6C">
        <w:rPr>
          <w:lang w:val="et-EE"/>
        </w:rPr>
        <w:t xml:space="preserve">): Maht: </w:t>
      </w:r>
      <w:r>
        <w:rPr>
          <w:lang w:val="et-EE"/>
        </w:rPr>
        <w:t>2 000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5</w:t>
      </w:r>
      <w:r w:rsidRPr="00753B6C">
        <w:rPr>
          <w:lang w:val="et-EE"/>
        </w:rPr>
        <w:t xml:space="preserve">): Maht: </w:t>
      </w:r>
      <w:r>
        <w:rPr>
          <w:lang w:val="et-EE"/>
        </w:rPr>
        <w:t>98 000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6</w:t>
      </w:r>
      <w:r w:rsidRPr="00753B6C">
        <w:rPr>
          <w:lang w:val="et-EE"/>
        </w:rPr>
        <w:t xml:space="preserve">): Maht: </w:t>
      </w:r>
      <w:r>
        <w:rPr>
          <w:lang w:val="et-EE"/>
        </w:rPr>
        <w:t xml:space="preserve">5 000 </w:t>
      </w:r>
      <w:r w:rsidRPr="00753B6C">
        <w:rPr>
          <w:lang w:val="et-EE"/>
        </w:rPr>
        <w:t xml:space="preserve">Hind: </w:t>
      </w:r>
      <w:r>
        <w:rPr>
          <w:lang w:val="et-EE"/>
        </w:rPr>
        <w:t>0,936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7</w:t>
      </w:r>
      <w:r w:rsidRPr="00753B6C">
        <w:rPr>
          <w:lang w:val="et-EE"/>
        </w:rPr>
        <w:t xml:space="preserve">): Maht: </w:t>
      </w:r>
      <w:r>
        <w:rPr>
          <w:lang w:val="et-EE"/>
        </w:rPr>
        <w:t>240</w:t>
      </w:r>
      <w:r w:rsidRPr="00753B6C">
        <w:rPr>
          <w:lang w:val="et-EE"/>
        </w:rPr>
        <w:t xml:space="preserve"> Hind: </w:t>
      </w:r>
      <w:r>
        <w:rPr>
          <w:lang w:val="et-EE"/>
        </w:rPr>
        <w:t>0,934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8</w:t>
      </w:r>
      <w:r w:rsidRPr="00753B6C">
        <w:rPr>
          <w:lang w:val="et-EE"/>
        </w:rPr>
        <w:t xml:space="preserve">): Maht: </w:t>
      </w:r>
      <w:r>
        <w:rPr>
          <w:lang w:val="et-EE"/>
        </w:rPr>
        <w:t>4 000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0,934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9</w:t>
      </w:r>
      <w:r w:rsidRPr="00753B6C">
        <w:rPr>
          <w:lang w:val="et-EE"/>
        </w:rPr>
        <w:t xml:space="preserve">): Maht: </w:t>
      </w:r>
      <w:r>
        <w:rPr>
          <w:lang w:val="et-EE"/>
        </w:rPr>
        <w:t>1 090</w:t>
      </w:r>
      <w:r w:rsidRPr="00753B6C">
        <w:rPr>
          <w:lang w:val="et-EE"/>
        </w:rPr>
        <w:t xml:space="preserve"> Hind: </w:t>
      </w:r>
      <w:r>
        <w:rPr>
          <w:lang w:val="et-EE"/>
        </w:rPr>
        <w:t>0,938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10</w:t>
      </w:r>
      <w:r w:rsidRPr="00753B6C">
        <w:rPr>
          <w:lang w:val="et-EE"/>
        </w:rPr>
        <w:t xml:space="preserve">): Maht: </w:t>
      </w:r>
      <w:r>
        <w:rPr>
          <w:lang w:val="et-EE"/>
        </w:rPr>
        <w:t>715 000</w:t>
      </w:r>
      <w:r w:rsidRPr="00753B6C">
        <w:rPr>
          <w:lang w:val="et-EE"/>
        </w:rPr>
        <w:t xml:space="preserve"> Hind: </w:t>
      </w:r>
      <w:r>
        <w:rPr>
          <w:lang w:val="et-EE"/>
        </w:rPr>
        <w:t>0,94</w:t>
      </w:r>
      <w:r w:rsidRPr="00753B6C">
        <w:rPr>
          <w:lang w:val="et-EE"/>
        </w:rPr>
        <w:t xml:space="preserve"> EUR</w:t>
      </w:r>
    </w:p>
    <w:p w:rsidR="00FF0691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</w:t>
      </w:r>
      <w:r>
        <w:rPr>
          <w:lang w:val="et-EE"/>
        </w:rPr>
        <w:t>11</w:t>
      </w:r>
      <w:r w:rsidRPr="00753B6C">
        <w:rPr>
          <w:lang w:val="et-EE"/>
        </w:rPr>
        <w:t xml:space="preserve">): Maht: </w:t>
      </w:r>
      <w:r>
        <w:rPr>
          <w:lang w:val="et-EE"/>
        </w:rPr>
        <w:t>609</w:t>
      </w:r>
      <w:r w:rsidRPr="00753B6C">
        <w:rPr>
          <w:lang w:val="et-EE"/>
        </w:rPr>
        <w:t xml:space="preserve"> Hind: </w:t>
      </w:r>
      <w:r>
        <w:rPr>
          <w:lang w:val="et-EE"/>
        </w:rPr>
        <w:t>0,938</w:t>
      </w:r>
      <w:r w:rsidRPr="00753B6C">
        <w:rPr>
          <w:lang w:val="et-EE"/>
        </w:rPr>
        <w:t xml:space="preserve"> EUR</w:t>
      </w:r>
    </w:p>
    <w:p w:rsidR="00FF0691" w:rsidRPr="00753B6C" w:rsidRDefault="00FF0691" w:rsidP="00FF0691">
      <w:pPr>
        <w:spacing w:after="0"/>
        <w:rPr>
          <w:lang w:val="et-EE"/>
        </w:rPr>
      </w:pP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Tehingute koondteave:</w:t>
      </w:r>
    </w:p>
    <w:p w:rsidR="00FF0691" w:rsidRPr="00753B6C" w:rsidRDefault="00FF0691" w:rsidP="00FF0691">
      <w:pPr>
        <w:spacing w:after="0"/>
        <w:rPr>
          <w:lang w:val="et-EE"/>
        </w:rPr>
      </w:pPr>
      <w:r w:rsidRPr="00753B6C">
        <w:rPr>
          <w:lang w:val="et-EE"/>
        </w:rPr>
        <w:t>(1</w:t>
      </w:r>
      <w:r>
        <w:rPr>
          <w:lang w:val="et-EE"/>
        </w:rPr>
        <w:t>1</w:t>
      </w:r>
      <w:r w:rsidRPr="00753B6C">
        <w:rPr>
          <w:lang w:val="et-EE"/>
        </w:rPr>
        <w:t xml:space="preserve">): Maht: </w:t>
      </w:r>
      <w:r>
        <w:rPr>
          <w:lang w:val="et-EE"/>
        </w:rPr>
        <w:t>842</w:t>
      </w:r>
      <w:r w:rsidRPr="00753B6C">
        <w:rPr>
          <w:lang w:val="et-EE"/>
        </w:rPr>
        <w:t xml:space="preserve"> </w:t>
      </w:r>
      <w:r>
        <w:rPr>
          <w:lang w:val="et-EE"/>
        </w:rPr>
        <w:t>439</w:t>
      </w:r>
      <w:r w:rsidRPr="00753B6C">
        <w:rPr>
          <w:lang w:val="et-EE"/>
        </w:rPr>
        <w:t xml:space="preserve">; kaalutud keskmine hind: </w:t>
      </w:r>
      <w:r>
        <w:rPr>
          <w:lang w:val="et-EE"/>
        </w:rPr>
        <w:t>0</w:t>
      </w:r>
      <w:r w:rsidRPr="00753B6C">
        <w:rPr>
          <w:lang w:val="et-EE"/>
        </w:rPr>
        <w:t>,</w:t>
      </w:r>
      <w:r>
        <w:rPr>
          <w:lang w:val="et-EE"/>
        </w:rPr>
        <w:t xml:space="preserve">9392 </w:t>
      </w:r>
      <w:r w:rsidRPr="00753B6C">
        <w:rPr>
          <w:lang w:val="et-EE"/>
        </w:rPr>
        <w:t>EUR</w:t>
      </w:r>
    </w:p>
    <w:p w:rsidR="00FF0691" w:rsidRPr="00753B6C" w:rsidRDefault="00FF0691" w:rsidP="00364918">
      <w:pPr>
        <w:spacing w:after="0"/>
        <w:rPr>
          <w:lang w:val="et-EE"/>
        </w:rPr>
      </w:pPr>
      <w:bookmarkStart w:id="0" w:name="_GoBack"/>
      <w:bookmarkEnd w:id="0"/>
    </w:p>
    <w:p w:rsidR="00364918" w:rsidRPr="00753B6C" w:rsidRDefault="00364918" w:rsidP="00364918">
      <w:pPr>
        <w:spacing w:after="0"/>
        <w:rPr>
          <w:lang w:val="et-EE"/>
        </w:rPr>
      </w:pP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 xml:space="preserve">Joonas Joost 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Juhatuse nõunik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Investorsuhete juht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 xml:space="preserve"> 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AS Tallink Grupp</w:t>
      </w:r>
    </w:p>
    <w:p w:rsidR="00364918" w:rsidRPr="00753B6C" w:rsidRDefault="00B71742" w:rsidP="00364918">
      <w:pPr>
        <w:spacing w:after="0"/>
        <w:rPr>
          <w:lang w:val="et-EE"/>
        </w:rPr>
      </w:pPr>
      <w:r>
        <w:rPr>
          <w:lang w:val="et-EE"/>
        </w:rPr>
        <w:t>Sadama 5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10111 Tallinn</w:t>
      </w:r>
    </w:p>
    <w:p w:rsidR="00364918" w:rsidRPr="00753B6C" w:rsidRDefault="00364918" w:rsidP="00364918">
      <w:pPr>
        <w:spacing w:after="0"/>
        <w:rPr>
          <w:lang w:val="et-EE"/>
        </w:rPr>
      </w:pPr>
      <w:r w:rsidRPr="00753B6C">
        <w:rPr>
          <w:lang w:val="et-EE"/>
        </w:rPr>
        <w:t>E-mail joonas.joost@tallink.ee</w:t>
      </w:r>
    </w:p>
    <w:p w:rsidR="00364918" w:rsidRPr="00753B6C" w:rsidRDefault="00364918" w:rsidP="00364918">
      <w:pPr>
        <w:spacing w:after="0"/>
        <w:rPr>
          <w:lang w:val="et-EE"/>
        </w:rPr>
      </w:pPr>
    </w:p>
    <w:p w:rsidR="00364918" w:rsidRPr="00753B6C" w:rsidRDefault="00364918" w:rsidP="00364918">
      <w:pPr>
        <w:spacing w:after="0"/>
        <w:rPr>
          <w:lang w:val="et-EE"/>
        </w:rPr>
      </w:pPr>
    </w:p>
    <w:p w:rsidR="00364918" w:rsidRPr="00753B6C" w:rsidRDefault="00364918">
      <w:pPr>
        <w:spacing w:after="160" w:line="259" w:lineRule="auto"/>
        <w:rPr>
          <w:b/>
        </w:rPr>
      </w:pPr>
      <w:r w:rsidRPr="00753B6C">
        <w:rPr>
          <w:b/>
        </w:rPr>
        <w:br w:type="page"/>
      </w:r>
    </w:p>
    <w:p w:rsidR="00364918" w:rsidRPr="00753B6C" w:rsidRDefault="00364918" w:rsidP="00364918">
      <w:pPr>
        <w:spacing w:after="0"/>
        <w:rPr>
          <w:b/>
        </w:rPr>
      </w:pPr>
      <w:r w:rsidRPr="00753B6C">
        <w:rPr>
          <w:b/>
        </w:rPr>
        <w:lastRenderedPageBreak/>
        <w:t>Managers’ Transaction</w:t>
      </w:r>
    </w:p>
    <w:p w:rsidR="00364918" w:rsidRPr="00753B6C" w:rsidRDefault="00364918" w:rsidP="00364918">
      <w:pPr>
        <w:spacing w:after="0"/>
      </w:pPr>
    </w:p>
    <w:p w:rsidR="00364918" w:rsidRPr="00753B6C" w:rsidRDefault="00364918" w:rsidP="00364918">
      <w:pPr>
        <w:spacing w:after="0"/>
      </w:pPr>
      <w:r w:rsidRPr="00753B6C">
        <w:t>Person subject to the notification requirement</w:t>
      </w:r>
    </w:p>
    <w:p w:rsidR="00364918" w:rsidRPr="00753B6C" w:rsidRDefault="00364918" w:rsidP="00364918">
      <w:pPr>
        <w:spacing w:after="0"/>
      </w:pPr>
      <w:r w:rsidRPr="00753B6C">
        <w:t xml:space="preserve">Name: </w:t>
      </w:r>
      <w:r w:rsidR="00B71742">
        <w:t xml:space="preserve">OÜ </w:t>
      </w:r>
      <w:proofErr w:type="spellStart"/>
      <w:r w:rsidR="00B71742">
        <w:t>Mersok</w:t>
      </w:r>
      <w:proofErr w:type="spellEnd"/>
    </w:p>
    <w:p w:rsidR="00364918" w:rsidRDefault="00364918" w:rsidP="00364918">
      <w:pPr>
        <w:spacing w:after="0"/>
      </w:pPr>
      <w:r w:rsidRPr="00753B6C">
        <w:t xml:space="preserve">Position: </w:t>
      </w:r>
      <w:r w:rsidR="00B71742" w:rsidRPr="00BD0239">
        <w:t>Closely associated person</w:t>
      </w:r>
    </w:p>
    <w:p w:rsidR="00B71742" w:rsidRPr="00753B6C" w:rsidRDefault="00B71742" w:rsidP="00364918">
      <w:pPr>
        <w:spacing w:after="0"/>
      </w:pPr>
      <w:r>
        <w:t>(X) Legal person</w:t>
      </w:r>
    </w:p>
    <w:p w:rsidR="00364918" w:rsidRPr="00753B6C" w:rsidRDefault="00364918" w:rsidP="00364918">
      <w:pPr>
        <w:spacing w:after="0"/>
      </w:pPr>
    </w:p>
    <w:p w:rsidR="00B71742" w:rsidRPr="00FF0691" w:rsidRDefault="00B71742" w:rsidP="00B71742">
      <w:pPr>
        <w:spacing w:after="0"/>
      </w:pPr>
      <w:r w:rsidRPr="00FF0691">
        <w:t xml:space="preserve">Person Discharging Managerial Responsibilities </w:t>
      </w:r>
      <w:proofErr w:type="gramStart"/>
      <w:r w:rsidRPr="00FF0691">
        <w:t>In</w:t>
      </w:r>
      <w:proofErr w:type="gramEnd"/>
      <w:r w:rsidRPr="00FF0691">
        <w:t xml:space="preserve"> Issuer</w:t>
      </w:r>
    </w:p>
    <w:p w:rsidR="00B71742" w:rsidRPr="00FF0691" w:rsidRDefault="00B71742" w:rsidP="00B71742">
      <w:pPr>
        <w:spacing w:after="0"/>
      </w:pPr>
      <w:r w:rsidRPr="00FF0691">
        <w:t>Name: Pant, Eve</w:t>
      </w:r>
    </w:p>
    <w:p w:rsidR="00B71742" w:rsidRPr="00BD0239" w:rsidRDefault="00B71742" w:rsidP="00B71742">
      <w:pPr>
        <w:spacing w:after="0"/>
      </w:pPr>
      <w:r w:rsidRPr="00FF0691">
        <w:t>Position: Member of the Supervisory Board</w:t>
      </w:r>
    </w:p>
    <w:p w:rsidR="00B71742" w:rsidRDefault="00B71742" w:rsidP="00364918">
      <w:pPr>
        <w:spacing w:after="0"/>
      </w:pPr>
    </w:p>
    <w:p w:rsidR="00364918" w:rsidRPr="00753B6C" w:rsidRDefault="00364918" w:rsidP="00364918">
      <w:pPr>
        <w:spacing w:after="0"/>
      </w:pPr>
      <w:r w:rsidRPr="00753B6C">
        <w:t xml:space="preserve">Issuer: AS Tallink </w:t>
      </w:r>
      <w:proofErr w:type="spellStart"/>
      <w:r w:rsidRPr="00753B6C">
        <w:t>Grupp</w:t>
      </w:r>
      <w:proofErr w:type="spellEnd"/>
    </w:p>
    <w:p w:rsidR="00364918" w:rsidRPr="00753B6C" w:rsidRDefault="00364918" w:rsidP="00364918">
      <w:pPr>
        <w:spacing w:after="0"/>
      </w:pPr>
      <w:r w:rsidRPr="00753B6C">
        <w:t>LEI: 529900QRMWAKKR3L9W75</w:t>
      </w:r>
    </w:p>
    <w:p w:rsidR="00364918" w:rsidRPr="00753B6C" w:rsidRDefault="00364918" w:rsidP="00364918">
      <w:pPr>
        <w:spacing w:after="0"/>
      </w:pPr>
    </w:p>
    <w:p w:rsidR="00364918" w:rsidRPr="00753B6C" w:rsidRDefault="00364918" w:rsidP="00364918">
      <w:pPr>
        <w:spacing w:after="0"/>
      </w:pPr>
      <w:r w:rsidRPr="00753B6C">
        <w:t>Notification type: Initial Notification</w:t>
      </w:r>
    </w:p>
    <w:p w:rsidR="00364918" w:rsidRPr="00753B6C" w:rsidRDefault="00364918" w:rsidP="00364918">
      <w:pPr>
        <w:spacing w:after="0"/>
      </w:pPr>
      <w:r w:rsidRPr="00753B6C">
        <w:t>_____________________________________</w:t>
      </w:r>
    </w:p>
    <w:p w:rsidR="00364918" w:rsidRPr="00753B6C" w:rsidRDefault="00364918" w:rsidP="00364918">
      <w:pPr>
        <w:spacing w:after="0"/>
      </w:pPr>
    </w:p>
    <w:p w:rsidR="00364918" w:rsidRPr="00753B6C" w:rsidRDefault="00364918" w:rsidP="00364918">
      <w:pPr>
        <w:spacing w:after="0"/>
      </w:pPr>
      <w:r w:rsidRPr="00753B6C">
        <w:t>Transaction date: 1</w:t>
      </w:r>
      <w:r w:rsidR="00B71742">
        <w:t>7</w:t>
      </w:r>
      <w:r w:rsidRPr="00753B6C">
        <w:t>.0</w:t>
      </w:r>
      <w:r w:rsidR="00B71742">
        <w:t>9</w:t>
      </w:r>
      <w:r w:rsidRPr="00753B6C">
        <w:t>.2019</w:t>
      </w:r>
    </w:p>
    <w:p w:rsidR="00B71742" w:rsidRDefault="00364918" w:rsidP="00364918">
      <w:pPr>
        <w:spacing w:after="0"/>
      </w:pPr>
      <w:r w:rsidRPr="00753B6C">
        <w:t xml:space="preserve">Venue: </w:t>
      </w:r>
      <w:proofErr w:type="gramStart"/>
      <w:r w:rsidR="00B71742" w:rsidRPr="00B71742">
        <w:t>Nasdaq</w:t>
      </w:r>
      <w:proofErr w:type="gramEnd"/>
      <w:r w:rsidR="00B71742" w:rsidRPr="00B71742">
        <w:t xml:space="preserve"> OMX Tallinn </w:t>
      </w:r>
    </w:p>
    <w:p w:rsidR="00364918" w:rsidRDefault="00364918" w:rsidP="00364918">
      <w:pPr>
        <w:spacing w:after="0"/>
      </w:pPr>
      <w:r>
        <w:t>Instrument type: Share</w:t>
      </w:r>
    </w:p>
    <w:p w:rsidR="00364918" w:rsidRDefault="00364918" w:rsidP="00364918">
      <w:pPr>
        <w:spacing w:after="0"/>
      </w:pPr>
      <w:r>
        <w:t>ISIN: EE3100004466</w:t>
      </w:r>
    </w:p>
    <w:p w:rsidR="00364918" w:rsidRDefault="00364918" w:rsidP="00364918">
      <w:pPr>
        <w:spacing w:after="0"/>
      </w:pPr>
      <w:r>
        <w:t>Nature of the transaction: Acquisition</w:t>
      </w:r>
    </w:p>
    <w:p w:rsidR="00364918" w:rsidRDefault="00364918" w:rsidP="00364918">
      <w:pPr>
        <w:spacing w:after="0"/>
      </w:pPr>
    </w:p>
    <w:p w:rsidR="00364918" w:rsidRPr="00FF0691" w:rsidRDefault="00364918" w:rsidP="00364918">
      <w:pPr>
        <w:spacing w:after="0"/>
      </w:pPr>
      <w:r w:rsidRPr="00FF0691">
        <w:t>Transaction details:</w:t>
      </w:r>
    </w:p>
    <w:p w:rsidR="00B71742" w:rsidRPr="00FF0691" w:rsidRDefault="00B71742" w:rsidP="00B71742">
      <w:pPr>
        <w:spacing w:after="0"/>
      </w:pPr>
      <w:r w:rsidRPr="00FF0691">
        <w:t>(1): Volume: 22,932 Unite price: 0.928 EUR</w:t>
      </w:r>
    </w:p>
    <w:p w:rsidR="00B71742" w:rsidRPr="00FF0691" w:rsidRDefault="00B71742" w:rsidP="00B71742">
      <w:pPr>
        <w:spacing w:after="0"/>
      </w:pPr>
      <w:r w:rsidRPr="00FF0691">
        <w:t>(2): Volume: 34,612 Unite price: 0.93 EUR</w:t>
      </w:r>
    </w:p>
    <w:p w:rsidR="00B71742" w:rsidRPr="00FF0691" w:rsidRDefault="00B71742" w:rsidP="00B71742">
      <w:pPr>
        <w:spacing w:after="0"/>
      </w:pPr>
      <w:r w:rsidRPr="00FF0691">
        <w:t>(3): Volume: 5,000 Unite price: 0.928 EUR</w:t>
      </w:r>
    </w:p>
    <w:p w:rsidR="00B71742" w:rsidRPr="00FF0691" w:rsidRDefault="00B71742" w:rsidP="00B71742">
      <w:pPr>
        <w:spacing w:after="0"/>
      </w:pPr>
      <w:r w:rsidRPr="00FF0691">
        <w:t>(4): Volume: 20,953 Unite price: 0.93 EUR</w:t>
      </w:r>
    </w:p>
    <w:p w:rsidR="00B71742" w:rsidRPr="00FF0691" w:rsidRDefault="00B71742" w:rsidP="00B71742">
      <w:pPr>
        <w:spacing w:after="0"/>
      </w:pPr>
      <w:r w:rsidRPr="00FF0691">
        <w:t>(5): Volume: 5,000 Unite price: 0.93 EUR</w:t>
      </w:r>
    </w:p>
    <w:p w:rsidR="00B71742" w:rsidRPr="00FF0691" w:rsidRDefault="00B71742" w:rsidP="00B71742">
      <w:pPr>
        <w:spacing w:after="0"/>
      </w:pPr>
      <w:r w:rsidRPr="00FF0691">
        <w:t>(6): Volume: 11,513 Unite price: 0.93 EUR</w:t>
      </w:r>
    </w:p>
    <w:p w:rsidR="00B71742" w:rsidRPr="00FF0691" w:rsidRDefault="00B71742" w:rsidP="00B71742">
      <w:pPr>
        <w:spacing w:after="0"/>
      </w:pPr>
      <w:r w:rsidRPr="00FF0691">
        <w:t>(7): Volume: 5,000 Unite price: 0.93 EUR</w:t>
      </w:r>
    </w:p>
    <w:p w:rsidR="00B71742" w:rsidRPr="00FF0691" w:rsidRDefault="00B71742" w:rsidP="00B71742">
      <w:pPr>
        <w:spacing w:after="0"/>
      </w:pPr>
      <w:r w:rsidRPr="00FF0691">
        <w:t>(8): Volume: 8,943 Unite price: 0.93 EUR</w:t>
      </w:r>
    </w:p>
    <w:p w:rsidR="00B71742" w:rsidRPr="00FF0691" w:rsidRDefault="00B71742" w:rsidP="00B71742">
      <w:pPr>
        <w:spacing w:after="0"/>
      </w:pPr>
      <w:r w:rsidRPr="00FF0691">
        <w:t>(9): Volume: 150 Unite price: 0.93 EUR</w:t>
      </w:r>
    </w:p>
    <w:p w:rsidR="00B71742" w:rsidRPr="00FF0691" w:rsidRDefault="00B71742" w:rsidP="00B71742">
      <w:pPr>
        <w:spacing w:after="0"/>
      </w:pPr>
      <w:r w:rsidRPr="00FF0691">
        <w:t>(10): Volume: 468 Unite price: 0.93 EUR</w:t>
      </w:r>
    </w:p>
    <w:p w:rsidR="00B71742" w:rsidRPr="00FF0691" w:rsidRDefault="00B71742" w:rsidP="00B71742">
      <w:pPr>
        <w:spacing w:after="0"/>
      </w:pPr>
      <w:r w:rsidRPr="00FF0691">
        <w:t>(11): Volume: 43,179 Unite price: 0.93 EUR</w:t>
      </w:r>
    </w:p>
    <w:p w:rsidR="00B71742" w:rsidRPr="00FF0691" w:rsidRDefault="00B71742" w:rsidP="00B71742">
      <w:pPr>
        <w:spacing w:after="0"/>
      </w:pPr>
      <w:r w:rsidRPr="00FF0691">
        <w:t>(12): Volume: 1,439 Unite price: 0.932 EUR</w:t>
      </w:r>
    </w:p>
    <w:p w:rsidR="00B71742" w:rsidRPr="00FF0691" w:rsidRDefault="00B71742" w:rsidP="00B71742">
      <w:pPr>
        <w:spacing w:after="0"/>
      </w:pPr>
      <w:r w:rsidRPr="00FF0691">
        <w:t>(13): Volume: 19,382 Unite price: 0.93 EUR</w:t>
      </w:r>
    </w:p>
    <w:p w:rsidR="00364918" w:rsidRPr="00FF0691" w:rsidRDefault="00364918" w:rsidP="00364918">
      <w:pPr>
        <w:spacing w:after="0"/>
      </w:pPr>
    </w:p>
    <w:p w:rsidR="00364918" w:rsidRPr="00FF0691" w:rsidRDefault="00364918" w:rsidP="00364918">
      <w:pPr>
        <w:spacing w:after="0"/>
      </w:pPr>
      <w:r w:rsidRPr="00FF0691">
        <w:t>Aggregated transactions:</w:t>
      </w:r>
    </w:p>
    <w:p w:rsidR="00364918" w:rsidRPr="00FF0691" w:rsidRDefault="00364918" w:rsidP="00364918">
      <w:pPr>
        <w:spacing w:after="0"/>
      </w:pPr>
      <w:r w:rsidRPr="00FF0691">
        <w:t>(</w:t>
      </w:r>
      <w:r w:rsidR="00B71742" w:rsidRPr="00FF0691">
        <w:t>13</w:t>
      </w:r>
      <w:r w:rsidRPr="00FF0691">
        <w:t xml:space="preserve">): Volume: </w:t>
      </w:r>
      <w:r w:rsidR="00B71742" w:rsidRPr="00FF0691">
        <w:t>178</w:t>
      </w:r>
      <w:r w:rsidRPr="00FF0691">
        <w:t>,</w:t>
      </w:r>
      <w:r w:rsidR="00B71742" w:rsidRPr="00FF0691">
        <w:t>561</w:t>
      </w:r>
      <w:r w:rsidRPr="00FF0691">
        <w:t xml:space="preserve">; Volume weighted average price: </w:t>
      </w:r>
      <w:r w:rsidR="00B71742" w:rsidRPr="00FF0691">
        <w:t>0</w:t>
      </w:r>
      <w:r w:rsidRPr="00FF0691">
        <w:t>.</w:t>
      </w:r>
      <w:r w:rsidR="00B71742" w:rsidRPr="00FF0691">
        <w:t>9297</w:t>
      </w:r>
      <w:r w:rsidRPr="00FF0691">
        <w:t xml:space="preserve"> EUR</w:t>
      </w:r>
    </w:p>
    <w:p w:rsidR="00364918" w:rsidRPr="00FF0691" w:rsidRDefault="00364918" w:rsidP="00364918">
      <w:pPr>
        <w:spacing w:after="0"/>
      </w:pPr>
    </w:p>
    <w:p w:rsidR="00364918" w:rsidRPr="00FF0691" w:rsidRDefault="00364918" w:rsidP="00364918">
      <w:pPr>
        <w:spacing w:after="0"/>
      </w:pPr>
    </w:p>
    <w:p w:rsidR="00FF0691" w:rsidRPr="00FF0691" w:rsidRDefault="00FF0691" w:rsidP="00FF0691">
      <w:pPr>
        <w:spacing w:after="0"/>
      </w:pPr>
      <w:r w:rsidRPr="00FF0691">
        <w:t>Transaction date: 18.09.2019</w:t>
      </w:r>
    </w:p>
    <w:p w:rsidR="00FF0691" w:rsidRPr="00FF0691" w:rsidRDefault="00FF0691" w:rsidP="00FF0691">
      <w:pPr>
        <w:spacing w:after="0"/>
      </w:pPr>
      <w:r w:rsidRPr="00FF0691">
        <w:t xml:space="preserve">Venue: </w:t>
      </w:r>
      <w:proofErr w:type="gramStart"/>
      <w:r w:rsidRPr="00FF0691">
        <w:t>Nasdaq</w:t>
      </w:r>
      <w:proofErr w:type="gramEnd"/>
      <w:r w:rsidRPr="00FF0691">
        <w:t xml:space="preserve"> OMX Tallinn </w:t>
      </w:r>
    </w:p>
    <w:p w:rsidR="00FF0691" w:rsidRPr="00FF0691" w:rsidRDefault="00FF0691" w:rsidP="00FF0691">
      <w:pPr>
        <w:spacing w:after="0"/>
      </w:pPr>
      <w:r w:rsidRPr="00FF0691">
        <w:t>Instrument type: Share</w:t>
      </w:r>
    </w:p>
    <w:p w:rsidR="00FF0691" w:rsidRPr="00FF0691" w:rsidRDefault="00FF0691" w:rsidP="00FF0691">
      <w:pPr>
        <w:spacing w:after="0"/>
      </w:pPr>
      <w:r w:rsidRPr="00FF0691">
        <w:t>ISIN: EE3100004466</w:t>
      </w:r>
    </w:p>
    <w:p w:rsidR="00FF0691" w:rsidRPr="00FF0691" w:rsidRDefault="00FF0691" w:rsidP="00FF0691">
      <w:pPr>
        <w:spacing w:after="0"/>
      </w:pPr>
      <w:r w:rsidRPr="00FF0691">
        <w:t>Nature of the transaction: Acquisition</w:t>
      </w:r>
    </w:p>
    <w:p w:rsidR="00FF0691" w:rsidRPr="00FF0691" w:rsidRDefault="00FF0691" w:rsidP="00FF0691">
      <w:pPr>
        <w:spacing w:after="0"/>
      </w:pPr>
    </w:p>
    <w:p w:rsidR="00FF0691" w:rsidRPr="00FF0691" w:rsidRDefault="00FF0691" w:rsidP="00FF0691">
      <w:pPr>
        <w:spacing w:after="0"/>
      </w:pPr>
      <w:r w:rsidRPr="00FF0691">
        <w:t>Transaction details:</w:t>
      </w:r>
    </w:p>
    <w:p w:rsidR="00FF0691" w:rsidRPr="00FF0691" w:rsidRDefault="00FF0691" w:rsidP="00FF0691">
      <w:pPr>
        <w:spacing w:after="0"/>
      </w:pPr>
      <w:r w:rsidRPr="00FF0691">
        <w:t>(1): Volume: 4,000 Unite price: 0.93 EUR</w:t>
      </w:r>
    </w:p>
    <w:p w:rsidR="00FF0691" w:rsidRPr="00FF0691" w:rsidRDefault="00FF0691" w:rsidP="00FF0691">
      <w:pPr>
        <w:spacing w:after="0"/>
      </w:pPr>
      <w:r w:rsidRPr="00FF0691">
        <w:t>(2): Volume: 25,000 Unite price: 0.936 EUR</w:t>
      </w:r>
    </w:p>
    <w:p w:rsidR="00FF0691" w:rsidRPr="00FF0691" w:rsidRDefault="00FF0691" w:rsidP="00FF0691">
      <w:pPr>
        <w:spacing w:after="0"/>
      </w:pPr>
      <w:r w:rsidRPr="00FF0691">
        <w:t>(3): Volume: 1,000 Unite price: 0.934 EUR</w:t>
      </w:r>
    </w:p>
    <w:p w:rsidR="00FF0691" w:rsidRPr="00FF0691" w:rsidRDefault="00FF0691" w:rsidP="00FF0691">
      <w:pPr>
        <w:spacing w:after="0"/>
      </w:pPr>
      <w:r w:rsidRPr="00FF0691">
        <w:t>(4): Volume: 5,379 Unite price: 0.936 EUR</w:t>
      </w:r>
    </w:p>
    <w:p w:rsidR="00FF0691" w:rsidRPr="00FF0691" w:rsidRDefault="00FF0691" w:rsidP="00FF0691">
      <w:pPr>
        <w:spacing w:after="0"/>
      </w:pPr>
      <w:r w:rsidRPr="00FF0691">
        <w:lastRenderedPageBreak/>
        <w:t>(5): Volume</w:t>
      </w:r>
      <w:proofErr w:type="gramStart"/>
      <w:r w:rsidRPr="00FF0691">
        <w:t>:8,621</w:t>
      </w:r>
      <w:proofErr w:type="gramEnd"/>
      <w:r w:rsidRPr="00FF0691">
        <w:t xml:space="preserve"> Unite price: 0.936 EUR</w:t>
      </w:r>
    </w:p>
    <w:p w:rsidR="00FF0691" w:rsidRPr="00FF0691" w:rsidRDefault="00FF0691" w:rsidP="00FF0691">
      <w:pPr>
        <w:spacing w:after="0"/>
      </w:pPr>
      <w:r w:rsidRPr="00FF0691">
        <w:t>(6): Volume: 1,000 Unite price: 0.936 EUR</w:t>
      </w:r>
    </w:p>
    <w:p w:rsidR="00FF0691" w:rsidRPr="00FF0691" w:rsidRDefault="00FF0691" w:rsidP="00FF0691">
      <w:pPr>
        <w:spacing w:after="0"/>
      </w:pPr>
    </w:p>
    <w:p w:rsidR="00FF0691" w:rsidRPr="00FF0691" w:rsidRDefault="00FF0691" w:rsidP="00FF0691">
      <w:pPr>
        <w:spacing w:after="0"/>
      </w:pPr>
      <w:r w:rsidRPr="00FF0691">
        <w:t>Aggregated transactions:</w:t>
      </w:r>
    </w:p>
    <w:p w:rsidR="00FF0691" w:rsidRPr="00FF0691" w:rsidRDefault="00FF0691" w:rsidP="00FF0691">
      <w:pPr>
        <w:spacing w:after="0"/>
      </w:pPr>
      <w:r w:rsidRPr="00FF0691">
        <w:t>(6): Volume: 45,000; Volume weighted average price: 0. 9354 EUR</w:t>
      </w:r>
    </w:p>
    <w:p w:rsidR="00FF0691" w:rsidRPr="00FF0691" w:rsidRDefault="00FF0691" w:rsidP="00364918">
      <w:pPr>
        <w:spacing w:after="0"/>
      </w:pPr>
    </w:p>
    <w:p w:rsidR="00FF0691" w:rsidRPr="00FF0691" w:rsidRDefault="00FF0691" w:rsidP="00364918">
      <w:pPr>
        <w:spacing w:after="0"/>
      </w:pPr>
    </w:p>
    <w:p w:rsidR="00FF0691" w:rsidRPr="00FF0691" w:rsidRDefault="00FF0691" w:rsidP="00FF0691">
      <w:pPr>
        <w:spacing w:after="0"/>
      </w:pPr>
      <w:r w:rsidRPr="00FF0691">
        <w:t>Transaction date: 19.09.2019</w:t>
      </w:r>
    </w:p>
    <w:p w:rsidR="00FF0691" w:rsidRPr="00FF0691" w:rsidRDefault="00FF0691" w:rsidP="00FF0691">
      <w:pPr>
        <w:spacing w:after="0"/>
      </w:pPr>
      <w:r w:rsidRPr="00FF0691">
        <w:t xml:space="preserve">Venue: </w:t>
      </w:r>
      <w:proofErr w:type="gramStart"/>
      <w:r w:rsidRPr="00FF0691">
        <w:t>Nasdaq</w:t>
      </w:r>
      <w:proofErr w:type="gramEnd"/>
      <w:r w:rsidRPr="00FF0691">
        <w:t xml:space="preserve"> OMX Tallinn </w:t>
      </w:r>
    </w:p>
    <w:p w:rsidR="00FF0691" w:rsidRPr="00FF0691" w:rsidRDefault="00FF0691" w:rsidP="00FF0691">
      <w:pPr>
        <w:spacing w:after="0"/>
      </w:pPr>
      <w:r w:rsidRPr="00FF0691">
        <w:t>Instrument type: Share</w:t>
      </w:r>
    </w:p>
    <w:p w:rsidR="00FF0691" w:rsidRPr="00FF0691" w:rsidRDefault="00FF0691" w:rsidP="00FF0691">
      <w:pPr>
        <w:spacing w:after="0"/>
      </w:pPr>
      <w:r w:rsidRPr="00FF0691">
        <w:t>ISIN: EE3100004466</w:t>
      </w:r>
    </w:p>
    <w:p w:rsidR="00FF0691" w:rsidRPr="00FF0691" w:rsidRDefault="00FF0691" w:rsidP="00FF0691">
      <w:pPr>
        <w:spacing w:after="0"/>
      </w:pPr>
      <w:r w:rsidRPr="00FF0691">
        <w:t>Nature of the transaction: Acquisition</w:t>
      </w:r>
    </w:p>
    <w:p w:rsidR="00FF0691" w:rsidRPr="00FF0691" w:rsidRDefault="00FF0691" w:rsidP="00364918">
      <w:pPr>
        <w:spacing w:after="0"/>
      </w:pPr>
    </w:p>
    <w:p w:rsidR="00FF0691" w:rsidRPr="00FF0691" w:rsidRDefault="00FF0691" w:rsidP="00FF0691">
      <w:pPr>
        <w:spacing w:after="0"/>
      </w:pPr>
      <w:r w:rsidRPr="00FF0691">
        <w:t>Transaction details:</w:t>
      </w:r>
    </w:p>
    <w:p w:rsidR="00FF0691" w:rsidRPr="00FF0691" w:rsidRDefault="00FF0691" w:rsidP="00FF0691">
      <w:pPr>
        <w:spacing w:after="0"/>
      </w:pPr>
      <w:r w:rsidRPr="00FF0691">
        <w:t>(1): Volume: 6</w:t>
      </w:r>
      <w:r w:rsidR="002751ED">
        <w:t>,</w:t>
      </w:r>
      <w:r w:rsidRPr="00FF0691">
        <w:t>575 Unite price: 0.938 EUR</w:t>
      </w:r>
    </w:p>
    <w:p w:rsidR="00FF0691" w:rsidRPr="00FF0691" w:rsidRDefault="00FF0691" w:rsidP="00FF0691">
      <w:pPr>
        <w:spacing w:after="0"/>
      </w:pPr>
      <w:r w:rsidRPr="00FF0691">
        <w:t>(2): Volume: 8</w:t>
      </w:r>
      <w:r w:rsidR="002751ED">
        <w:t>,</w:t>
      </w:r>
      <w:r w:rsidRPr="00FF0691">
        <w:t>425 Unite price: 0.938 EUR</w:t>
      </w:r>
    </w:p>
    <w:p w:rsidR="00FF0691" w:rsidRPr="00FF0691" w:rsidRDefault="00FF0691" w:rsidP="00FF0691">
      <w:pPr>
        <w:spacing w:after="0"/>
      </w:pPr>
      <w:r w:rsidRPr="00FF0691">
        <w:t>(3): Volume: 1</w:t>
      </w:r>
      <w:r w:rsidR="002751ED">
        <w:t>,</w:t>
      </w:r>
      <w:r w:rsidRPr="00FF0691">
        <w:t>500 Unite price: 0.938 EUR</w:t>
      </w:r>
    </w:p>
    <w:p w:rsidR="00FF0691" w:rsidRPr="00FF0691" w:rsidRDefault="00FF0691" w:rsidP="00FF0691">
      <w:pPr>
        <w:spacing w:after="0"/>
      </w:pPr>
      <w:r w:rsidRPr="00FF0691">
        <w:t>(4): Volume: 2</w:t>
      </w:r>
      <w:r w:rsidR="002751ED">
        <w:t>,</w:t>
      </w:r>
      <w:r w:rsidRPr="00FF0691">
        <w:t>000 Unite price: 0.934 EUR</w:t>
      </w:r>
    </w:p>
    <w:p w:rsidR="00FF0691" w:rsidRPr="00FF0691" w:rsidRDefault="00FF0691" w:rsidP="00FF0691">
      <w:pPr>
        <w:spacing w:after="0"/>
      </w:pPr>
      <w:r w:rsidRPr="00FF0691">
        <w:t>(5): Volume: 98</w:t>
      </w:r>
      <w:r w:rsidR="002751ED">
        <w:t>,</w:t>
      </w:r>
      <w:r w:rsidRPr="00FF0691">
        <w:t>000 Unite price: 0.934 EUR</w:t>
      </w:r>
    </w:p>
    <w:p w:rsidR="00FF0691" w:rsidRPr="00FF0691" w:rsidRDefault="00FF0691" w:rsidP="00FF0691">
      <w:pPr>
        <w:spacing w:after="0"/>
      </w:pPr>
      <w:r w:rsidRPr="00FF0691">
        <w:t>(6): Volume: 5</w:t>
      </w:r>
      <w:r w:rsidR="002751ED">
        <w:t>,</w:t>
      </w:r>
      <w:r w:rsidRPr="00FF0691">
        <w:t>000 Unite price: 0.936 EUR</w:t>
      </w:r>
    </w:p>
    <w:p w:rsidR="00FF0691" w:rsidRPr="00FF0691" w:rsidRDefault="00FF0691" w:rsidP="00FF0691">
      <w:pPr>
        <w:spacing w:after="0"/>
      </w:pPr>
      <w:r w:rsidRPr="00FF0691">
        <w:t>(7): Volume: 240 Unite price: 0.934 EUR</w:t>
      </w:r>
    </w:p>
    <w:p w:rsidR="00FF0691" w:rsidRPr="00FF0691" w:rsidRDefault="00FF0691" w:rsidP="00FF0691">
      <w:pPr>
        <w:spacing w:after="0"/>
      </w:pPr>
      <w:r w:rsidRPr="00FF0691">
        <w:t>(8): Volume: 4</w:t>
      </w:r>
      <w:r w:rsidR="002751ED">
        <w:t>,</w:t>
      </w:r>
      <w:r w:rsidRPr="00FF0691">
        <w:t>000 Unite price: 0.934 EUR</w:t>
      </w:r>
    </w:p>
    <w:p w:rsidR="00FF0691" w:rsidRPr="00FF0691" w:rsidRDefault="00FF0691" w:rsidP="00FF0691">
      <w:pPr>
        <w:spacing w:after="0"/>
      </w:pPr>
      <w:r w:rsidRPr="00FF0691">
        <w:t>(9): Volume: 1</w:t>
      </w:r>
      <w:r w:rsidR="002751ED">
        <w:t>,</w:t>
      </w:r>
      <w:r w:rsidRPr="00FF0691">
        <w:t>090 Unite price: 0.938 EUR</w:t>
      </w:r>
    </w:p>
    <w:p w:rsidR="00FF0691" w:rsidRPr="00FF0691" w:rsidRDefault="00FF0691" w:rsidP="00FF0691">
      <w:pPr>
        <w:spacing w:after="0"/>
      </w:pPr>
      <w:r w:rsidRPr="00FF0691">
        <w:t>(10): Volume: 715</w:t>
      </w:r>
      <w:r w:rsidR="002751ED">
        <w:t>,</w:t>
      </w:r>
      <w:r w:rsidRPr="00FF0691">
        <w:t>000 Unite price: 0.94 EUR</w:t>
      </w:r>
    </w:p>
    <w:p w:rsidR="00FF0691" w:rsidRPr="00FF0691" w:rsidRDefault="00FF0691" w:rsidP="00FF0691">
      <w:pPr>
        <w:spacing w:after="0"/>
      </w:pPr>
      <w:r w:rsidRPr="00FF0691">
        <w:t>(11): Volume: 609 Unite price: 0.938 EUR</w:t>
      </w:r>
    </w:p>
    <w:p w:rsidR="00FF0691" w:rsidRPr="00FF0691" w:rsidRDefault="00FF0691" w:rsidP="00FF0691">
      <w:pPr>
        <w:spacing w:after="0"/>
      </w:pPr>
    </w:p>
    <w:p w:rsidR="00FF0691" w:rsidRPr="00FF0691" w:rsidRDefault="00FF0691" w:rsidP="00FF0691">
      <w:pPr>
        <w:spacing w:after="0"/>
      </w:pPr>
      <w:r w:rsidRPr="00FF0691">
        <w:t>Aggregated transactions:</w:t>
      </w:r>
    </w:p>
    <w:p w:rsidR="00FF0691" w:rsidRPr="00FF0691" w:rsidRDefault="00FF0691" w:rsidP="00FF0691">
      <w:pPr>
        <w:spacing w:after="0"/>
      </w:pPr>
      <w:r w:rsidRPr="00FF0691">
        <w:t>(11): Volume: 842</w:t>
      </w:r>
      <w:r w:rsidR="002751ED">
        <w:t>,</w:t>
      </w:r>
      <w:r w:rsidRPr="00FF0691">
        <w:t>439; Volume weighted average price: 0.9392 EUR</w:t>
      </w:r>
    </w:p>
    <w:p w:rsidR="00FF0691" w:rsidRPr="00FF0691" w:rsidRDefault="00FF0691" w:rsidP="00364918">
      <w:pPr>
        <w:spacing w:after="0"/>
      </w:pPr>
    </w:p>
    <w:p w:rsidR="00FF0691" w:rsidRPr="00FF0691" w:rsidRDefault="00FF0691" w:rsidP="00364918">
      <w:pPr>
        <w:spacing w:after="0"/>
      </w:pPr>
    </w:p>
    <w:p w:rsidR="00364918" w:rsidRPr="00FF0691" w:rsidRDefault="00364918" w:rsidP="00364918">
      <w:pPr>
        <w:spacing w:after="0"/>
      </w:pPr>
      <w:r w:rsidRPr="00FF0691">
        <w:t>Joonas Joost</w:t>
      </w:r>
    </w:p>
    <w:p w:rsidR="00364918" w:rsidRPr="00FF0691" w:rsidRDefault="00364918" w:rsidP="00364918">
      <w:pPr>
        <w:spacing w:after="0"/>
      </w:pPr>
      <w:r w:rsidRPr="00FF0691">
        <w:t>Advisor to the Management Board</w:t>
      </w:r>
    </w:p>
    <w:p w:rsidR="00364918" w:rsidRPr="00FF0691" w:rsidRDefault="00364918" w:rsidP="00364918">
      <w:pPr>
        <w:spacing w:after="0"/>
      </w:pPr>
      <w:r w:rsidRPr="00FF0691">
        <w:t>Head of Investor Relations</w:t>
      </w:r>
    </w:p>
    <w:p w:rsidR="00364918" w:rsidRPr="00FF0691" w:rsidRDefault="00364918" w:rsidP="00364918">
      <w:pPr>
        <w:spacing w:after="0"/>
      </w:pPr>
      <w:r w:rsidRPr="00FF0691">
        <w:t xml:space="preserve"> </w:t>
      </w:r>
    </w:p>
    <w:p w:rsidR="00364918" w:rsidRPr="00FF0691" w:rsidRDefault="00364918" w:rsidP="00364918">
      <w:pPr>
        <w:spacing w:after="0"/>
      </w:pPr>
      <w:r w:rsidRPr="00FF0691">
        <w:t xml:space="preserve">AS Tallink </w:t>
      </w:r>
      <w:proofErr w:type="spellStart"/>
      <w:r w:rsidRPr="00FF0691">
        <w:t>Grupp</w:t>
      </w:r>
      <w:proofErr w:type="spellEnd"/>
    </w:p>
    <w:p w:rsidR="00364918" w:rsidRPr="00FF0691" w:rsidRDefault="00B71742" w:rsidP="00364918">
      <w:pPr>
        <w:spacing w:after="0"/>
      </w:pPr>
      <w:proofErr w:type="spellStart"/>
      <w:r w:rsidRPr="00FF0691">
        <w:t>Sadama</w:t>
      </w:r>
      <w:proofErr w:type="spellEnd"/>
      <w:r w:rsidRPr="00FF0691">
        <w:t xml:space="preserve"> 5</w:t>
      </w:r>
    </w:p>
    <w:p w:rsidR="00364918" w:rsidRPr="00FF0691" w:rsidRDefault="00364918" w:rsidP="00364918">
      <w:pPr>
        <w:spacing w:after="0"/>
      </w:pPr>
      <w:proofErr w:type="gramStart"/>
      <w:r w:rsidRPr="00FF0691">
        <w:t>10111</w:t>
      </w:r>
      <w:proofErr w:type="gramEnd"/>
      <w:r w:rsidRPr="00FF0691">
        <w:t xml:space="preserve"> Tallinn, Estonia</w:t>
      </w:r>
    </w:p>
    <w:p w:rsidR="00364918" w:rsidRPr="00F54333" w:rsidRDefault="00364918" w:rsidP="00364918">
      <w:pPr>
        <w:spacing w:after="0"/>
      </w:pPr>
      <w:r>
        <w:t>E-mail joonas.joost@tallink.ee</w:t>
      </w:r>
    </w:p>
    <w:p w:rsidR="00364918" w:rsidRPr="00364918" w:rsidRDefault="00364918" w:rsidP="00364918">
      <w:pPr>
        <w:spacing w:after="0"/>
      </w:pPr>
    </w:p>
    <w:sectPr w:rsidR="00364918" w:rsidRPr="0036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T Walsheim Medium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GT Walsheim Regular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26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C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4A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29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5A6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58B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47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C86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A9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8C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9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071BBC"/>
    <w:multiLevelType w:val="multilevel"/>
    <w:tmpl w:val="37A049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4152" w:themeColor="accent4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004152" w:themeColor="accent4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  <w:color w:val="004152" w:themeColor="accent4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B292FC72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D78E352"/>
    <w:lvl w:ilvl="0">
      <w:start w:val="1"/>
      <w:numFmt w:val="bullet"/>
      <w:pStyle w:val="ListBullet"/>
      <w:lvlText w:val="→"/>
      <w:lvlJc w:val="left"/>
      <w:pPr>
        <w:ind w:left="357" w:hanging="357"/>
      </w:pPr>
      <w:rPr>
        <w:rFonts w:ascii="GT Walsheim Medium" w:hAnsi="GT Walsheim Medium" w:hint="default"/>
        <w:color w:val="004152" w:themeColor="accent4"/>
      </w:rPr>
    </w:lvl>
    <w:lvl w:ilvl="1">
      <w:start w:val="1"/>
      <w:numFmt w:val="bullet"/>
      <w:pStyle w:val="ListBullet2"/>
      <w:lvlText w:val="—"/>
      <w:lvlJc w:val="left"/>
      <w:pPr>
        <w:ind w:left="720" w:hanging="363"/>
      </w:pPr>
      <w:rPr>
        <w:rFonts w:ascii="GT Walsheim Regular" w:hAnsi="GT Walsheim Regular" w:hint="default"/>
        <w:color w:val="004152" w:themeColor="accent4"/>
      </w:rPr>
    </w:lvl>
    <w:lvl w:ilvl="2">
      <w:start w:val="1"/>
      <w:numFmt w:val="bullet"/>
      <w:pStyle w:val="ListBullet3"/>
      <w:lvlText w:val="–"/>
      <w:lvlJc w:val="left"/>
      <w:pPr>
        <w:ind w:left="1077" w:hanging="357"/>
      </w:pPr>
      <w:rPr>
        <w:rFonts w:ascii="GT Walsheim Regular" w:hAnsi="GT Walsheim Regular" w:hint="default"/>
        <w:color w:val="004152" w:themeColor="accent4"/>
      </w:rPr>
    </w:lvl>
    <w:lvl w:ilvl="3">
      <w:start w:val="1"/>
      <w:numFmt w:val="bullet"/>
      <w:pStyle w:val="ListBullet4"/>
      <w:lvlText w:val="−"/>
      <w:lvlJc w:val="left"/>
      <w:pPr>
        <w:ind w:left="1440" w:hanging="363"/>
      </w:pPr>
      <w:rPr>
        <w:rFonts w:ascii="GT Walsheim Regular" w:hAnsi="GT Walsheim Regular" w:hint="default"/>
        <w:color w:val="004152" w:themeColor="accent4"/>
      </w:rPr>
    </w:lvl>
    <w:lvl w:ilvl="4">
      <w:start w:val="1"/>
      <w:numFmt w:val="bullet"/>
      <w:pStyle w:val="ListBullet5"/>
      <w:lvlText w:val="•"/>
      <w:lvlJc w:val="left"/>
      <w:pPr>
        <w:ind w:left="1797" w:hanging="357"/>
      </w:pPr>
      <w:rPr>
        <w:rFonts w:ascii="GT Walsheim Regular" w:hAnsi="GT Walsheim Regular" w:hint="default"/>
        <w:color w:val="004152" w:themeColor="accent4"/>
      </w:rPr>
    </w:lvl>
    <w:lvl w:ilvl="5">
      <w:start w:val="1"/>
      <w:numFmt w:val="bullet"/>
      <w:lvlText w:val="»"/>
      <w:lvlJc w:val="left"/>
      <w:pPr>
        <w:ind w:left="3231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3591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3951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4311" w:hanging="360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"/>
  </w:num>
  <w:num w:numId="12">
    <w:abstractNumId w:val="11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13"/>
  </w:num>
  <w:num w:numId="19">
    <w:abstractNumId w:val="6"/>
  </w:num>
  <w:num w:numId="20">
    <w:abstractNumId w:val="13"/>
  </w:num>
  <w:num w:numId="21">
    <w:abstractNumId w:val="5"/>
  </w:num>
  <w:num w:numId="22">
    <w:abstractNumId w:val="13"/>
  </w:num>
  <w:num w:numId="23">
    <w:abstractNumId w:val="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18"/>
    <w:rsid w:val="000F3EE2"/>
    <w:rsid w:val="00146DD2"/>
    <w:rsid w:val="002751ED"/>
    <w:rsid w:val="00364918"/>
    <w:rsid w:val="00753B6C"/>
    <w:rsid w:val="007F471A"/>
    <w:rsid w:val="00A4321F"/>
    <w:rsid w:val="00AB7B21"/>
    <w:rsid w:val="00B71742"/>
    <w:rsid w:val="00B808C8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2B0024-E8B8-43B3-858C-B9ECFF0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1A"/>
    <w:pPr>
      <w:spacing w:after="120" w:line="260" w:lineRule="atLeast"/>
    </w:pPr>
    <w:rPr>
      <w:rFonts w:eastAsiaTheme="minorEastAsia"/>
      <w:sz w:val="20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1A"/>
    <w:pPr>
      <w:keepNext/>
      <w:keepLines/>
      <w:pBdr>
        <w:bottom w:val="single" w:sz="4" w:space="1" w:color="004152" w:themeColor="accent4"/>
      </w:pBdr>
      <w:spacing w:before="240"/>
      <w:contextualSpacing/>
      <w:outlineLvl w:val="0"/>
    </w:pPr>
    <w:rPr>
      <w:rFonts w:asciiTheme="majorHAnsi" w:eastAsiaTheme="majorEastAsia" w:hAnsiTheme="majorHAnsi" w:cstheme="majorBidi"/>
      <w:bCs/>
      <w:caps/>
      <w:color w:val="004152" w:themeColor="accent4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471A"/>
    <w:pPr>
      <w:keepNext/>
      <w:keepLines/>
      <w:spacing w:before="280" w:after="0"/>
      <w:contextualSpacing/>
      <w:outlineLvl w:val="1"/>
    </w:pPr>
    <w:rPr>
      <w:rFonts w:asciiTheme="majorHAnsi" w:eastAsiaTheme="majorEastAsia" w:hAnsiTheme="majorHAnsi" w:cstheme="majorBidi"/>
      <w:bCs/>
      <w:color w:val="004152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71A"/>
    <w:pPr>
      <w:keepNext/>
      <w:keepLines/>
      <w:spacing w:before="160" w:after="0"/>
      <w:contextualSpacing/>
      <w:outlineLvl w:val="2"/>
    </w:pPr>
    <w:rPr>
      <w:rFonts w:asciiTheme="majorHAnsi" w:eastAsiaTheme="majorEastAsia" w:hAnsiTheme="majorHAnsi" w:cstheme="majorBidi"/>
      <w:color w:val="004152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471A"/>
    <w:pPr>
      <w:keepNext/>
      <w:keepLines/>
      <w:spacing w:before="60" w:after="60"/>
      <w:contextualSpacing/>
      <w:outlineLvl w:val="3"/>
    </w:pPr>
    <w:rPr>
      <w:rFonts w:asciiTheme="majorHAnsi" w:eastAsiaTheme="majorEastAsia" w:hAnsiTheme="majorHAnsi" w:cstheme="majorBidi"/>
      <w:iCs/>
      <w:color w:val="004152" w:themeColor="accent4"/>
      <w:sz w:val="21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7F471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  <w:color w:val="004152" w:themeColor="accent4"/>
    </w:rPr>
  </w:style>
  <w:style w:type="paragraph" w:styleId="Heading6">
    <w:name w:val="heading 6"/>
    <w:basedOn w:val="Normal"/>
    <w:next w:val="Normal"/>
    <w:link w:val="Heading6Char"/>
    <w:uiPriority w:val="9"/>
    <w:rsid w:val="007F471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7F471A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aliases w:val="Heading 8 - not in TOC"/>
    <w:basedOn w:val="Heading3"/>
    <w:next w:val="Normal"/>
    <w:link w:val="Heading8Char"/>
    <w:uiPriority w:val="9"/>
    <w:qFormat/>
    <w:rsid w:val="007F471A"/>
    <w:pPr>
      <w:outlineLvl w:val="7"/>
    </w:pPr>
  </w:style>
  <w:style w:type="paragraph" w:styleId="Heading9">
    <w:name w:val="heading 9"/>
    <w:aliases w:val="Heading 9 - not in TOC"/>
    <w:basedOn w:val="Heading2"/>
    <w:next w:val="Normal"/>
    <w:link w:val="Heading9Char"/>
    <w:uiPriority w:val="9"/>
    <w:qFormat/>
    <w:rsid w:val="007F47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1A"/>
    <w:rPr>
      <w:rFonts w:ascii="Segoe UI" w:eastAsiaTheme="minorEastAsia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rsid w:val="007F471A"/>
    <w:pPr>
      <w:spacing w:after="0"/>
    </w:pPr>
    <w:rPr>
      <w:bCs/>
      <w:sz w:val="17"/>
      <w:szCs w:val="18"/>
    </w:rPr>
  </w:style>
  <w:style w:type="character" w:styleId="Emphasis">
    <w:name w:val="Emphasis"/>
    <w:basedOn w:val="DefaultParagraphFont"/>
    <w:uiPriority w:val="20"/>
    <w:rsid w:val="007F471A"/>
    <w:rPr>
      <w:i/>
      <w:iCs/>
      <w:color w:val="auto"/>
    </w:rPr>
  </w:style>
  <w:style w:type="character" w:styleId="BookTitle">
    <w:name w:val="Book Title"/>
    <w:basedOn w:val="DefaultParagraphFont"/>
    <w:uiPriority w:val="33"/>
    <w:rsid w:val="007F471A"/>
    <w:rPr>
      <w:b/>
      <w:bCs/>
      <w:smallCaps/>
      <w:color w:val="auto"/>
    </w:rPr>
  </w:style>
  <w:style w:type="paragraph" w:styleId="BodyText3">
    <w:name w:val="Body Text 3"/>
    <w:basedOn w:val="Normal"/>
    <w:next w:val="NoSpacing"/>
    <w:link w:val="BodyText3Char"/>
    <w:semiHidden/>
    <w:rsid w:val="007F47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471A"/>
    <w:rPr>
      <w:rFonts w:eastAsiaTheme="minorEastAsia"/>
      <w:sz w:val="16"/>
      <w:szCs w:val="16"/>
      <w:lang w:val="en-GB"/>
    </w:rPr>
  </w:style>
  <w:style w:type="paragraph" w:styleId="NoSpacing">
    <w:name w:val="No Spacing"/>
    <w:uiPriority w:val="1"/>
    <w:rsid w:val="007F471A"/>
    <w:pPr>
      <w:spacing w:after="0" w:line="240" w:lineRule="auto"/>
    </w:pPr>
    <w:rPr>
      <w:rFonts w:eastAsiaTheme="minorEastAsia"/>
      <w:sz w:val="20"/>
      <w:szCs w:val="19"/>
    </w:rPr>
  </w:style>
  <w:style w:type="paragraph" w:styleId="Quote">
    <w:name w:val="Quote"/>
    <w:basedOn w:val="Normal"/>
    <w:next w:val="Normal"/>
    <w:link w:val="QuoteChar"/>
    <w:uiPriority w:val="29"/>
    <w:rsid w:val="007F471A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1A"/>
    <w:rPr>
      <w:rFonts w:asciiTheme="majorHAnsi" w:eastAsiaTheme="majorEastAsia" w:hAnsiTheme="majorHAnsi" w:cstheme="majorBidi"/>
      <w:i/>
      <w:iCs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7F471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7F471A"/>
    <w:rPr>
      <w:smallCaps/>
      <w:color w:val="auto"/>
      <w:u w:val="single" w:color="7F7F7F" w:themeColor="text1" w:themeTint="80"/>
    </w:rPr>
  </w:style>
  <w:style w:type="character" w:styleId="FootnoteReference">
    <w:name w:val="footnote reference"/>
    <w:basedOn w:val="DefaultParagraphFont"/>
    <w:uiPriority w:val="99"/>
    <w:rsid w:val="007F471A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F471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471A"/>
    <w:rPr>
      <w:rFonts w:eastAsiaTheme="minorEastAsia"/>
      <w:sz w:val="18"/>
      <w:szCs w:val="20"/>
      <w:lang w:val="en-GB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7F471A"/>
    <w:rPr>
      <w:vanish/>
      <w:color w:val="C00000"/>
    </w:rPr>
  </w:style>
  <w:style w:type="character" w:styleId="Hyperlink">
    <w:name w:val="Hyperlink"/>
    <w:basedOn w:val="DefaultParagraphFont"/>
    <w:uiPriority w:val="99"/>
    <w:rsid w:val="007F471A"/>
    <w:rPr>
      <w:color w:val="0563C1" w:themeColor="hyperlink"/>
      <w:u w:val="single"/>
    </w:rPr>
  </w:style>
  <w:style w:type="paragraph" w:customStyle="1" w:styleId="Info-bigtext">
    <w:name w:val="Info - big text"/>
    <w:basedOn w:val="NoSpacing"/>
    <w:next w:val="Normal"/>
    <w:uiPriority w:val="99"/>
    <w:qFormat/>
    <w:rsid w:val="007F471A"/>
    <w:pPr>
      <w:jc w:val="center"/>
    </w:pPr>
    <w:rPr>
      <w:color w:val="004152" w:themeColor="accent4"/>
      <w:sz w:val="48"/>
      <w:szCs w:val="60"/>
    </w:rPr>
  </w:style>
  <w:style w:type="paragraph" w:customStyle="1" w:styleId="Info-smalltext">
    <w:name w:val="Info - small text"/>
    <w:basedOn w:val="NoSpacing"/>
    <w:uiPriority w:val="99"/>
    <w:qFormat/>
    <w:rsid w:val="007F471A"/>
    <w:pPr>
      <w:jc w:val="center"/>
    </w:pPr>
    <w:rPr>
      <w:color w:val="004152" w:themeColor="accent4"/>
      <w:sz w:val="16"/>
      <w:lang w:val="en-GB"/>
    </w:rPr>
  </w:style>
  <w:style w:type="paragraph" w:styleId="TOC1">
    <w:name w:val="toc 1"/>
    <w:basedOn w:val="Normal"/>
    <w:next w:val="Normal"/>
    <w:uiPriority w:val="39"/>
    <w:rsid w:val="007F471A"/>
    <w:pPr>
      <w:spacing w:after="100"/>
    </w:pPr>
    <w:rPr>
      <w:caps/>
    </w:rPr>
  </w:style>
  <w:style w:type="paragraph" w:styleId="TOC2">
    <w:name w:val="toc 2"/>
    <w:basedOn w:val="Normal"/>
    <w:next w:val="Normal"/>
    <w:uiPriority w:val="39"/>
    <w:rsid w:val="007F471A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7F471A"/>
    <w:pPr>
      <w:spacing w:after="100"/>
      <w:ind w:left="440"/>
    </w:pPr>
  </w:style>
  <w:style w:type="paragraph" w:styleId="TOC4">
    <w:name w:val="toc 4"/>
    <w:basedOn w:val="Normal"/>
    <w:next w:val="Normal"/>
    <w:uiPriority w:val="39"/>
    <w:rsid w:val="007F471A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7F471A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7F471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7F471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7F471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7F471A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F471A"/>
    <w:rPr>
      <w:rFonts w:asciiTheme="majorHAnsi" w:eastAsiaTheme="majorEastAsia" w:hAnsiTheme="majorHAnsi" w:cstheme="majorBidi"/>
      <w:bCs/>
      <w:caps/>
      <w:color w:val="004152" w:themeColor="accent4"/>
      <w:sz w:val="40"/>
      <w:szCs w:val="28"/>
      <w:lang w:val="en-GB"/>
    </w:rPr>
  </w:style>
  <w:style w:type="paragraph" w:styleId="TOCHeading">
    <w:name w:val="TOC Heading"/>
    <w:basedOn w:val="Normal"/>
    <w:next w:val="Normal"/>
    <w:uiPriority w:val="39"/>
    <w:rsid w:val="007F471A"/>
    <w:pPr>
      <w:keepNext/>
      <w:pBdr>
        <w:bottom w:val="single" w:sz="4" w:space="1" w:color="004152" w:themeColor="accent4"/>
      </w:pBdr>
      <w:spacing w:before="240" w:after="240"/>
    </w:pPr>
    <w:rPr>
      <w:rFonts w:asciiTheme="majorHAnsi" w:hAnsiTheme="majorHAnsi"/>
      <w:caps/>
      <w:color w:val="004152" w:themeColor="accent4"/>
      <w:sz w:val="40"/>
    </w:rPr>
  </w:style>
  <w:style w:type="paragraph" w:styleId="CommentText">
    <w:name w:val="annotation text"/>
    <w:basedOn w:val="Normal"/>
    <w:link w:val="CommentTextChar"/>
    <w:uiPriority w:val="99"/>
    <w:semiHidden/>
    <w:rsid w:val="007F47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1A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1A"/>
    <w:rPr>
      <w:rFonts w:eastAsiaTheme="minorEastAsia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F471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0F3EE2"/>
    <w:pPr>
      <w:spacing w:line="276" w:lineRule="auto"/>
      <w:ind w:left="720"/>
      <w:contextualSpacing/>
    </w:pPr>
    <w:rPr>
      <w:szCs w:val="21"/>
      <w:lang w:eastAsia="et-EE"/>
    </w:rPr>
  </w:style>
  <w:style w:type="character" w:customStyle="1" w:styleId="ListParagraphChar">
    <w:name w:val="List Paragraph Char"/>
    <w:link w:val="ListParagraph"/>
    <w:uiPriority w:val="34"/>
    <w:rsid w:val="000F3EE2"/>
    <w:rPr>
      <w:rFonts w:eastAsiaTheme="minorEastAsia"/>
      <w:sz w:val="20"/>
      <w:szCs w:val="21"/>
      <w:lang w:val="en-GB" w:eastAsia="et-EE"/>
    </w:rPr>
  </w:style>
  <w:style w:type="paragraph" w:styleId="NormalWeb">
    <w:name w:val="Normal (Web)"/>
    <w:basedOn w:val="Normal"/>
    <w:uiPriority w:val="99"/>
    <w:semiHidden/>
    <w:unhideWhenUsed/>
    <w:rsid w:val="007F47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7F471A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F471A"/>
    <w:rPr>
      <w:rFonts w:asciiTheme="majorHAnsi" w:eastAsiaTheme="majorEastAsia" w:hAnsiTheme="majorHAnsi" w:cstheme="majorBidi"/>
      <w:bCs/>
      <w:color w:val="004152" w:themeColor="accent4"/>
      <w:sz w:val="28"/>
      <w:szCs w:val="28"/>
      <w:lang w:val="en-GB"/>
    </w:r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7F471A"/>
    <w:pPr>
      <w:numPr>
        <w:ilvl w:val="1"/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71A"/>
    <w:rPr>
      <w:rFonts w:asciiTheme="majorHAnsi" w:eastAsiaTheme="majorEastAsia" w:hAnsiTheme="majorHAnsi" w:cstheme="majorBidi"/>
      <w:color w:val="004152" w:themeColor="accent4"/>
      <w:sz w:val="24"/>
      <w:szCs w:val="24"/>
      <w:lang w:val="en-GB"/>
    </w:r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7F471A"/>
    <w:pPr>
      <w:numPr>
        <w:ilvl w:val="2"/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F471A"/>
    <w:rPr>
      <w:rFonts w:asciiTheme="majorHAnsi" w:eastAsiaTheme="majorEastAsia" w:hAnsiTheme="majorHAnsi" w:cstheme="majorBidi"/>
      <w:iCs/>
      <w:color w:val="004152" w:themeColor="accent4"/>
      <w:sz w:val="21"/>
      <w:szCs w:val="24"/>
      <w:lang w:val="en-GB"/>
    </w:r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7F471A"/>
    <w:pPr>
      <w:numPr>
        <w:ilvl w:val="3"/>
        <w:numId w:val="4"/>
      </w:numPr>
    </w:pPr>
  </w:style>
  <w:style w:type="paragraph" w:styleId="ListNumber">
    <w:name w:val="List Number"/>
    <w:basedOn w:val="Normal"/>
    <w:uiPriority w:val="99"/>
    <w:qFormat/>
    <w:rsid w:val="007F471A"/>
    <w:pPr>
      <w:numPr>
        <w:numId w:val="14"/>
      </w:numPr>
      <w:spacing w:after="80"/>
      <w:contextualSpacing/>
    </w:pPr>
  </w:style>
  <w:style w:type="paragraph" w:styleId="ListNumber2">
    <w:name w:val="List Number 2"/>
    <w:basedOn w:val="ListNumber"/>
    <w:uiPriority w:val="99"/>
    <w:rsid w:val="007F471A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7F471A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7F471A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7F471A"/>
    <w:pPr>
      <w:numPr>
        <w:ilvl w:val="4"/>
      </w:numPr>
    </w:pPr>
  </w:style>
  <w:style w:type="paragraph" w:customStyle="1" w:styleId="Orgchart-1">
    <w:name w:val="Org chart - 1"/>
    <w:basedOn w:val="NoSpacing"/>
    <w:rsid w:val="007F471A"/>
    <w:pPr>
      <w:jc w:val="center"/>
    </w:pPr>
    <w:rPr>
      <w:color w:val="CDF8EB" w:themeColor="accent3"/>
      <w:sz w:val="16"/>
    </w:rPr>
  </w:style>
  <w:style w:type="paragraph" w:customStyle="1" w:styleId="Orgchart-2">
    <w:name w:val="Org chart - 2"/>
    <w:basedOn w:val="NormalWeb"/>
    <w:rsid w:val="007F471A"/>
    <w:pPr>
      <w:spacing w:before="0" w:beforeAutospacing="0" w:after="0" w:afterAutospacing="0" w:line="240" w:lineRule="auto"/>
      <w:jc w:val="center"/>
    </w:pPr>
    <w:rPr>
      <w:rFonts w:asciiTheme="majorHAnsi" w:hAnsiTheme="majorHAnsi" w:cstheme="minorBidi"/>
      <w:color w:val="004152" w:themeColor="accent4"/>
      <w:kern w:val="24"/>
      <w:sz w:val="16"/>
      <w:szCs w:val="16"/>
    </w:rPr>
  </w:style>
  <w:style w:type="paragraph" w:customStyle="1" w:styleId="Orgchart-3">
    <w:name w:val="Org chart - 3"/>
    <w:basedOn w:val="NoSpacing"/>
    <w:rsid w:val="007F471A"/>
    <w:pPr>
      <w:jc w:val="center"/>
    </w:pPr>
    <w:rPr>
      <w:rFonts w:hAnsi="GT Walsheim Regular"/>
      <w:color w:val="004152" w:themeColor="accent4"/>
      <w:kern w:val="24"/>
      <w:sz w:val="12"/>
      <w:szCs w:val="12"/>
    </w:rPr>
  </w:style>
  <w:style w:type="character" w:styleId="PlaceholderText">
    <w:name w:val="Placeholder Text"/>
    <w:basedOn w:val="DefaultParagraphFont"/>
    <w:uiPriority w:val="99"/>
    <w:rsid w:val="007F471A"/>
    <w:rPr>
      <w:color w:val="7F7F7F" w:themeColor="text1" w:themeTint="80"/>
      <w:bdr w:val="none" w:sz="0" w:space="0" w:color="auto"/>
      <w:shd w:val="clear" w:color="auto" w:fill="F0F0F0"/>
    </w:rPr>
  </w:style>
  <w:style w:type="paragraph" w:styleId="ListBullet">
    <w:name w:val="List Bullet"/>
    <w:basedOn w:val="Normal"/>
    <w:uiPriority w:val="99"/>
    <w:qFormat/>
    <w:rsid w:val="007F471A"/>
    <w:pPr>
      <w:numPr>
        <w:numId w:val="24"/>
      </w:numPr>
      <w:contextualSpacing/>
    </w:pPr>
  </w:style>
  <w:style w:type="paragraph" w:styleId="ListBullet2">
    <w:name w:val="List Bullet 2"/>
    <w:basedOn w:val="ListBullet"/>
    <w:uiPriority w:val="99"/>
    <w:rsid w:val="007F471A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7F471A"/>
    <w:pPr>
      <w:numPr>
        <w:ilvl w:val="2"/>
      </w:numPr>
    </w:pPr>
  </w:style>
  <w:style w:type="paragraph" w:styleId="ListBullet4">
    <w:name w:val="List Bullet 4"/>
    <w:basedOn w:val="ListBullet3"/>
    <w:uiPriority w:val="99"/>
    <w:rsid w:val="007F471A"/>
    <w:pPr>
      <w:numPr>
        <w:ilvl w:val="3"/>
      </w:numPr>
    </w:pPr>
  </w:style>
  <w:style w:type="paragraph" w:styleId="ListBullet5">
    <w:name w:val="List Bullet 5"/>
    <w:basedOn w:val="ListBullet4"/>
    <w:uiPriority w:val="99"/>
    <w:rsid w:val="007F471A"/>
    <w:pPr>
      <w:numPr>
        <w:ilvl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F471A"/>
    <w:pPr>
      <w:jc w:val="center"/>
    </w:pPr>
    <w:rPr>
      <w:rFonts w:asciiTheme="majorHAnsi" w:eastAsiaTheme="majorEastAsia" w:hAnsiTheme="majorHAnsi" w:cstheme="majorBidi"/>
      <w:bCs/>
      <w:caps/>
      <w:color w:val="CDF8EB" w:themeColor="accent3"/>
      <w:sz w:val="2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F471A"/>
    <w:rPr>
      <w:rFonts w:asciiTheme="majorHAnsi" w:eastAsiaTheme="majorEastAsia" w:hAnsiTheme="majorHAnsi" w:cstheme="majorBidi"/>
      <w:bCs/>
      <w:caps/>
      <w:color w:val="CDF8EB" w:themeColor="accent3"/>
      <w:sz w:val="240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F471A"/>
    <w:rPr>
      <w:rFonts w:asciiTheme="majorHAnsi" w:eastAsiaTheme="majorEastAsia" w:hAnsiTheme="majorHAnsi" w:cstheme="majorBidi"/>
      <w:bCs/>
      <w:color w:val="004152" w:themeColor="accent4"/>
      <w:sz w:val="20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F471A"/>
    <w:rPr>
      <w:rFonts w:asciiTheme="majorHAnsi" w:eastAsiaTheme="majorEastAsia" w:hAnsiTheme="majorHAnsi" w:cstheme="majorBidi"/>
      <w:bCs/>
      <w:i/>
      <w:iCs/>
      <w:sz w:val="20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F471A"/>
    <w:rPr>
      <w:rFonts w:eastAsiaTheme="minorEastAsia"/>
      <w:i/>
      <w:iCs/>
      <w:sz w:val="20"/>
      <w:szCs w:val="19"/>
      <w:lang w:val="en-GB"/>
    </w:rPr>
  </w:style>
  <w:style w:type="character" w:customStyle="1" w:styleId="Heading8Char">
    <w:name w:val="Heading 8 Char"/>
    <w:aliases w:val="Heading 8 - not in TOC Char"/>
    <w:basedOn w:val="DefaultParagraphFont"/>
    <w:link w:val="Heading8"/>
    <w:uiPriority w:val="9"/>
    <w:rsid w:val="007F471A"/>
    <w:rPr>
      <w:rFonts w:asciiTheme="majorHAnsi" w:eastAsiaTheme="majorEastAsia" w:hAnsiTheme="majorHAnsi" w:cstheme="majorBidi"/>
      <w:color w:val="004152" w:themeColor="accent4"/>
      <w:sz w:val="24"/>
      <w:szCs w:val="24"/>
      <w:lang w:val="en-GB"/>
    </w:rPr>
  </w:style>
  <w:style w:type="character" w:customStyle="1" w:styleId="Heading9Char">
    <w:name w:val="Heading 9 Char"/>
    <w:aliases w:val="Heading 9 - not in TOC Char"/>
    <w:basedOn w:val="DefaultParagraphFont"/>
    <w:link w:val="Heading9"/>
    <w:uiPriority w:val="9"/>
    <w:rsid w:val="007F471A"/>
    <w:rPr>
      <w:rFonts w:asciiTheme="majorHAnsi" w:eastAsiaTheme="majorEastAsia" w:hAnsiTheme="majorHAnsi" w:cstheme="majorBidi"/>
      <w:bCs/>
      <w:color w:val="004152" w:themeColor="accent4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7F4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1A"/>
    <w:rPr>
      <w:rFonts w:eastAsiaTheme="minorEastAsia"/>
      <w:sz w:val="20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7F471A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7F471A"/>
    <w:rPr>
      <w:rFonts w:eastAsiaTheme="minorEastAsia"/>
      <w:sz w:val="17"/>
      <w:szCs w:val="19"/>
      <w:lang w:val="en-GB"/>
    </w:rPr>
  </w:style>
  <w:style w:type="character" w:styleId="PageNumber">
    <w:name w:val="page number"/>
    <w:basedOn w:val="DefaultParagraphFont"/>
    <w:uiPriority w:val="99"/>
    <w:rsid w:val="007F471A"/>
    <w:rPr>
      <w:sz w:val="18"/>
    </w:rPr>
  </w:style>
  <w:style w:type="character" w:styleId="Strong">
    <w:name w:val="Strong"/>
    <w:basedOn w:val="DefaultParagraphFont"/>
    <w:uiPriority w:val="22"/>
    <w:rsid w:val="007F471A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rsid w:val="007F471A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7F471A"/>
    <w:rPr>
      <w:b/>
      <w:bCs/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F471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1A"/>
    <w:rPr>
      <w:rFonts w:asciiTheme="majorHAnsi" w:eastAsiaTheme="majorEastAsia" w:hAnsiTheme="majorHAnsi" w:cstheme="majorBidi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7F471A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F471A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CDF8EB" w:themeColor="accent3"/>
      <w:sz w:val="9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1A"/>
    <w:rPr>
      <w:rFonts w:asciiTheme="majorHAnsi" w:eastAsiaTheme="majorEastAsia" w:hAnsiTheme="majorHAnsi" w:cstheme="majorBidi"/>
      <w:color w:val="CDF8EB" w:themeColor="accent3"/>
      <w:sz w:val="9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llink Grupp W">
  <a:themeElements>
    <a:clrScheme name="Tallink Grupp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00BEA2"/>
      </a:accent1>
      <a:accent2>
        <a:srgbClr val="004C93"/>
      </a:accent2>
      <a:accent3>
        <a:srgbClr val="CDF8EB"/>
      </a:accent3>
      <a:accent4>
        <a:srgbClr val="004152"/>
      </a:accent4>
      <a:accent5>
        <a:srgbClr val="F5F8F7"/>
      </a:accent5>
      <a:accent6>
        <a:srgbClr val="B9BE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ogotype Blue">
      <a:srgbClr val="004C93"/>
    </a:custClr>
    <a:custClr name="Midnight">
      <a:srgbClr val="004152"/>
    </a:custClr>
    <a:custClr name="Seafoam">
      <a:srgbClr val="F5F8F7"/>
    </a:custClr>
    <a:custClr name="Buoy light">
      <a:srgbClr val="CDF8EB"/>
    </a:custClr>
    <a:custClr name="Buoy">
      <a:srgbClr val="00BEA2"/>
    </a:custClr>
    <a:custClr name="Attention/Warning">
      <a:srgbClr val="FFC8B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ogotype Blue 80%">
      <a:srgbClr val="385D99"/>
    </a:custClr>
    <a:custClr name="Midnight 80%">
      <a:srgbClr val="42727F"/>
    </a:custClr>
    <a:custClr name="Seafoam +20%">
      <a:srgbClr val="E8EAE9"/>
    </a:custClr>
    <a:custClr name="Buoy light 20%">
      <a:srgbClr val="C2EADE"/>
    </a:custClr>
    <a:custClr name="Buoy 20%">
      <a:srgbClr val="00AC92"/>
    </a:custClr>
    <a:custClr name="General Message">
      <a:srgbClr val="C2F7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ogotype Blue 60%">
      <a:srgbClr val="6177A5"/>
    </a:custClr>
    <a:custClr name="Midnight 60%">
      <a:srgbClr val="7FA0A8"/>
    </a:custClr>
    <a:custClr name="Seafoam 40%">
      <a:srgbClr val="D9DCDB"/>
    </a:custClr>
    <a:custClr name="Buoy light 40%">
      <a:srgbClr val="BAE1D5"/>
    </a:custClr>
    <a:custClr name="Buoy 40%">
      <a:srgbClr val="00A088"/>
    </a:custClr>
    <a:custClr name="General Message">
      <a:srgbClr val="FAFAB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ogotype Blue 40%">
      <a:srgbClr val="99A4BF"/>
    </a:custClr>
    <a:custClr name="Midnight 40%">
      <a:srgbClr val="ADC2C7"/>
    </a:custClr>
    <a:custClr name="Seafoam 60%">
      <a:srgbClr val="CFD1D0"/>
    </a:custClr>
    <a:custClr name="Buoy light 60%">
      <a:srgbClr val="B1D6CB"/>
    </a:custClr>
    <a:custClr name="Buoy 60%">
      <a:srgbClr val="00927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ogotype Blue 20%">
      <a:srgbClr val="D1D5E0"/>
    </a:custClr>
    <a:custClr name="Midnight 20%">
      <a:srgbClr val="D4DFE2"/>
    </a:custClr>
    <a:custClr name="Seafoam 80%">
      <a:srgbClr val="BDC0BF"/>
    </a:custClr>
    <a:custClr name="Buoy light 80%">
      <a:srgbClr val="A3C6BB"/>
    </a:custClr>
    <a:custClr name="Buoy 80%">
      <a:srgbClr val="00776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Tallink Group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Joost</dc:creator>
  <cp:keywords/>
  <dc:description/>
  <cp:lastModifiedBy>Joonas Joost</cp:lastModifiedBy>
  <cp:revision>4</cp:revision>
  <cp:lastPrinted>2019-09-20T12:22:00Z</cp:lastPrinted>
  <dcterms:created xsi:type="dcterms:W3CDTF">2019-05-13T09:11:00Z</dcterms:created>
  <dcterms:modified xsi:type="dcterms:W3CDTF">2019-09-20T12:38:00Z</dcterms:modified>
</cp:coreProperties>
</file>