
<file path=[Content_Types].xml><?xml version="1.0" encoding="utf-8"?>
<Types xmlns="http://schemas.openxmlformats.org/package/2006/content-types">
  <Override ContentType="application/vnd.openxmlformats-officedocument.extended-properties+xml" PartName="/docProps/app.xml"/>
  <Override ContentType="application/vnd.openxmlformats-officedocument.wordprocessingml.footer+xml" PartName="/word/footer4.xml"/>
  <Override ContentType="application/vnd.openxmlformats-officedocument.wordprocessingml.footer+xml" PartName="/word/footer2.xml"/>
  <Default ContentType="application/vnd.openxmlformats-package.relationships+xml" Extension="rels"/>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footer+xml" PartName="/word/footer3.xml"/>
  <Override ContentType="application/vnd.openxmlformats-officedocument.wordprocessingml.footer+xml" PartName="/word/footer5.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header+xml" PartName="/word/header1.xml"/>
</Types>
</file>

<file path=_rels/.rels><?xml version='1.0' encoding='utf-8' standalone='yes'?>
<Relationships xmlns="http://schemas.openxmlformats.org/package/2006/relationships"><Relationship TargetMode="Internal" Type="http://schemas.openxmlformats.org/officeDocument/2006/relationships/officeDocument" Id="d334231d1" Target="word/document.xml"/><Relationship TargetMode="Internal" Type="http://schemas.openxmlformats.org/officeDocument/2006/extended-properties" Id="d6b0786d2" Target="docProps/app.xml"/><Relationship TargetMode="Internal" Type="http://schemas.openxmlformats.org/package/2006/relationships/metadata/core-properties" Id="d0befaa74" Target="docProps/core.xml"/></Relationships>
</file>

<file path=word/document.xml><?xml version="1.0" encoding="utf-8"?>
<w:document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body>
    <w:p>
      <w:pPr>
        <w:jc w:val="right"/>
        <w:spacing w:line="288.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EXHIBIT 99.1</w:t>
      </w:r>
      <w:bookmarkStart w:id="30175" w:name="Section5013B32E462C3393F56199380EE82078"/>
      <w:bookmarkEnd w:id="30175"/>
    </w:p>
    <w:p>
      <w:pPr>
        <w:jc w:val="center"/>
        <w:spacing w:line="288.0" w:lineRule="auto"/>
        <w:rPr>
          <w:rFonts w:ascii="Times New Roman" w:hAnsi="Times New Roman" w:eastAsia="Times New Roman" w:cs="Times New Roman"/>
          <w:sz w:val="24"/>
          <w:b w:val="true"/>
        </w:rPr>
      </w:pPr>
      <w:r>
        <w:rPr>
          <w:rFonts w:ascii="Times New Roman" w:hAnsi="Times New Roman" w:eastAsia="Times New Roman" w:cs="Times New Roman"/>
          <w:sz w:val="24"/>
          <w:b w:val="true"/>
        </w:rPr>
      </w:r>
    </w:p>
    <w:p>
      <w:pPr>
        <w:jc w:val="center"/>
        <w:spacing w:line="288.0" w:lineRule="auto"/>
        <w:rPr>
          <w:rFonts w:ascii="Times New Roman" w:hAnsi="Times New Roman" w:eastAsia="Times New Roman" w:cs="Times New Roman"/>
          <w:sz w:val="24"/>
          <w:b w:val="true"/>
        </w:rPr>
      </w:pPr>
      <w:r>
        <w:rPr>
          <w:rFonts w:ascii="Times New Roman" w:hAnsi="Times New Roman" w:eastAsia="Times New Roman" w:cs="Times New Roman"/>
          <w:sz w:val="24"/>
          <w:b w:val="true"/>
        </w:rPr>
        <w:t xml:space="preserve">LDR HOLDING CORPORATION REPORTS FIRST QUARTER 2014 RESULTS</w:t>
      </w:r>
    </w:p>
    <w:p>
      <w:pPr>
        <w:jc w:val="left"/>
        <w:spacing w:line="288.0"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0" w:lineRule="auto"/>
        <w:rPr>
          <w:rFonts w:ascii="Times New Roman" w:hAnsi="Times New Roman" w:eastAsia="Times New Roman" w:cs="Times New Roman"/>
          <w:sz w:val="24"/>
          <w:b w:val="true"/>
          <w:i w:val="true"/>
        </w:rPr>
      </w:pPr>
      <w:r>
        <w:rPr>
          <w:rFonts w:ascii="Times New Roman" w:hAnsi="Times New Roman" w:eastAsia="Times New Roman" w:cs="Times New Roman"/>
          <w:sz w:val="24"/>
          <w:b w:val="true"/>
          <w:i w:val="true"/>
        </w:rPr>
        <w:t xml:space="preserve">First quarter revenue increased </w:t>
      </w:r>
      <w:r>
        <w:rPr>
          <w:rFonts w:ascii="Times New Roman" w:hAnsi="Times New Roman" w:eastAsia="Times New Roman" w:cs="Times New Roman"/>
          <w:sz w:val="24"/>
          <w:b w:val="true"/>
          <w:i w:val="true"/>
        </w:rPr>
        <w:t xml:space="preserve">20.2%</w:t>
      </w:r>
      <w:r>
        <w:rPr>
          <w:rFonts w:ascii="Times New Roman" w:hAnsi="Times New Roman" w:eastAsia="Times New Roman" w:cs="Times New Roman"/>
          <w:sz w:val="24"/>
          <w:b w:val="true"/>
          <w:i w:val="true"/>
        </w:rPr>
        <w:t xml:space="preserve"> year-over-year to </w:t>
      </w:r>
      <w:r>
        <w:rPr>
          <w:rFonts w:ascii="Times New Roman" w:hAnsi="Times New Roman" w:eastAsia="Times New Roman" w:cs="Times New Roman"/>
          <w:sz w:val="24"/>
          <w:b w:val="true"/>
          <w:i w:val="true"/>
        </w:rPr>
        <w:t xml:space="preserve">$31.1 million</w:t>
      </w:r>
      <w:r>
        <w:rPr>
          <w:rFonts w:ascii="Times New Roman" w:hAnsi="Times New Roman" w:eastAsia="Times New Roman" w:cs="Times New Roman"/>
          <w:sz w:val="24"/>
          <w:b w:val="true"/>
          <w:i w:val="true"/>
        </w:rPr>
        <w:t xml:space="preserve"> </w:t>
      </w:r>
    </w:p>
    <w:p>
      <w:pPr>
        <w:jc w:val="center"/>
        <w:spacing w:line="288.0" w:lineRule="auto"/>
        <w:rPr>
          <w:rFonts w:ascii="Times New Roman" w:hAnsi="Times New Roman" w:eastAsia="Times New Roman" w:cs="Times New Roman"/>
          <w:sz w:val="24"/>
          <w:b w:val="true"/>
          <w:i w:val="true"/>
        </w:rPr>
      </w:pPr>
      <w:r>
        <w:rPr>
          <w:rFonts w:ascii="Times New Roman" w:hAnsi="Times New Roman" w:eastAsia="Times New Roman" w:cs="Times New Roman"/>
          <w:sz w:val="24"/>
          <w:b w:val="true"/>
          <w:i w:val="true"/>
        </w:rPr>
      </w:r>
    </w:p>
    <w:p>
      <w:pPr>
        <w:ind w:left="360"/>
        <w:jc w:val="left"/>
        <w:spacing w:line="288.0"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0" w:lineRule="auto" w:after="120.0"/>
        <w:rPr>
          <w:rFonts w:ascii="Times New Roman" w:hAnsi="Times New Roman" w:eastAsia="Times New Roman" w:cs="Times New Roman"/>
          <w:sz w:val="24"/>
        </w:rPr>
      </w:pPr>
      <w:r>
        <w:rPr>
          <w:rFonts w:ascii="Times New Roman" w:hAnsi="Times New Roman" w:eastAsia="Times New Roman" w:cs="Times New Roman"/>
          <w:sz w:val="24"/>
        </w:rPr>
        <w:t xml:space="preserve">AUSTIN, Texas, </w:t>
      </w:r>
      <w:r>
        <w:rPr>
          <w:rFonts w:ascii="Times New Roman" w:hAnsi="Times New Roman" w:eastAsia="Times New Roman" w:cs="Times New Roman"/>
          <w:sz w:val="24"/>
        </w:rPr>
        <w:t xml:space="preserve">May 7, 2014</w:t>
      </w:r>
      <w:r>
        <w:rPr>
          <w:rFonts w:ascii="Times New Roman" w:hAnsi="Times New Roman" w:eastAsia="Times New Roman" w:cs="Times New Roman"/>
          <w:sz w:val="24"/>
        </w:rPr>
        <w:t xml:space="preserve"> - LDR Holding Corporation (NASDAQ: LDRH), a global medical device company focused on designing and commercializing novel and proprietary surgical technologies for the treatment of patients suffering from spine disorders, today reported its financial results for the </w:t>
      </w:r>
      <w:r>
        <w:rPr>
          <w:rFonts w:ascii="Times New Roman" w:hAnsi="Times New Roman" w:eastAsia="Times New Roman" w:cs="Times New Roman"/>
          <w:sz w:val="24"/>
        </w:rPr>
        <w:t xml:space="preserve">first</w:t>
      </w:r>
      <w:r>
        <w:rPr>
          <w:rFonts w:ascii="Times New Roman" w:hAnsi="Times New Roman" w:eastAsia="Times New Roman" w:cs="Times New Roman"/>
          <w:sz w:val="24"/>
        </w:rPr>
        <w:t xml:space="preserve"> quarter of </w:t>
      </w:r>
      <w:r>
        <w:rPr>
          <w:rFonts w:ascii="Times New Roman" w:hAnsi="Times New Roman" w:eastAsia="Times New Roman" w:cs="Times New Roman"/>
          <w:sz w:val="24"/>
        </w:rPr>
        <w:t xml:space="preserve">2014</w:t>
      </w:r>
      <w:r>
        <w:rPr>
          <w:rFonts w:ascii="Times New Roman" w:hAnsi="Times New Roman" w:eastAsia="Times New Roman" w:cs="Times New Roman"/>
          <w:sz w:val="24"/>
        </w:rPr>
        <w:t xml:space="preserve">.  </w:t>
      </w:r>
    </w:p>
    <w:p>
      <w:pPr>
        <w:jc w:val="left"/>
        <w:spacing w:line="288.0" w:lineRule="auto" w:after="120.0"/>
        <w:rPr>
          <w:rFonts w:ascii="Times New Roman" w:hAnsi="Times New Roman" w:eastAsia="Times New Roman" w:cs="Times New Roman"/>
          <w:sz w:val="24"/>
          <w:b w:val="true"/>
          <w:i w:val="true"/>
        </w:rPr>
      </w:pPr>
      <w:r>
        <w:rPr>
          <w:rFonts w:ascii="Times New Roman" w:hAnsi="Times New Roman" w:eastAsia="Times New Roman" w:cs="Times New Roman"/>
          <w:sz w:val="24"/>
          <w:b w:val="true"/>
          <w:i w:val="true"/>
        </w:rPr>
        <w:t xml:space="preserve">First Quarter 2014 Revenue Highlights</w:t>
      </w:r>
    </w:p>
    <w:p>
      <w:pPr>
        <w:ind w:left="720" w:firstLine="-360"/>
        <w:jc w:val="left"/>
        <w:spacing w:line="288.0" w:lineRule="auto" w:after="120.0"/>
        <w:rPr>
          <w:rFonts w:ascii="Times New Roman" w:hAnsi="Times New Roman" w:eastAsia="Times New Roman" w:cs="Times New Roman"/>
          <w:sz w:val="24"/>
          <w:rFonts w:ascii="Times New Roman" w:hAnsi="Times New Roman" w:eastAsia="Times New Roman" w:cs="Times New Roman"/>
          <w:sz w:val="24"/>
        </w:rPr>
        <w:numPr>
          <w:ilvl w:val="0"/>
          <w:numId w:val="1"/>
        </w:numPr>
      </w:pPr>
      <w:r>
        <w:rPr>
          <w:rFonts w:ascii="Times New Roman" w:hAnsi="Times New Roman" w:eastAsia="Times New Roman" w:cs="Times New Roman"/>
          <w:sz w:val="24"/>
        </w:rPr>
        <w:t xml:space="preserve"/>
      </w:r>
      <w:r>
        <w:rPr>
          <w:rFonts w:ascii="Times New Roman" w:hAnsi="Times New Roman" w:eastAsia="Times New Roman" w:cs="Times New Roman"/>
          <w:sz w:val="24"/>
        </w:rPr>
        <w:t xml:space="preserve">Total revenue for the quarter ended </w:t>
      </w:r>
      <w:r>
        <w:rPr>
          <w:rFonts w:ascii="Times New Roman" w:hAnsi="Times New Roman" w:eastAsia="Times New Roman" w:cs="Times New Roman"/>
          <w:sz w:val="24"/>
        </w:rPr>
        <w:t xml:space="preserve">March 31, 2014</w:t>
      </w:r>
      <w:r>
        <w:rPr>
          <w:rFonts w:ascii="Times New Roman" w:hAnsi="Times New Roman" w:eastAsia="Times New Roman" w:cs="Times New Roman"/>
          <w:sz w:val="24"/>
        </w:rPr>
        <w:t xml:space="preserve"> increased </w:t>
      </w:r>
      <w:r>
        <w:rPr>
          <w:rFonts w:ascii="Times New Roman" w:hAnsi="Times New Roman" w:eastAsia="Times New Roman" w:cs="Times New Roman"/>
          <w:sz w:val="24"/>
        </w:rPr>
        <w:t xml:space="preserve">20.2%</w:t>
      </w:r>
      <w:r>
        <w:rPr>
          <w:rFonts w:ascii="Times New Roman" w:hAnsi="Times New Roman" w:eastAsia="Times New Roman" w:cs="Times New Roman"/>
          <w:sz w:val="24"/>
        </w:rPr>
        <w:t xml:space="preserve"> to </w:t>
      </w:r>
      <w:r>
        <w:rPr>
          <w:rFonts w:ascii="Times New Roman" w:hAnsi="Times New Roman" w:eastAsia="Times New Roman" w:cs="Times New Roman"/>
          <w:sz w:val="24"/>
        </w:rPr>
        <w:t xml:space="preserve">$31.1 million</w:t>
      </w:r>
      <w:r>
        <w:rPr>
          <w:rFonts w:ascii="Times New Roman" w:hAnsi="Times New Roman" w:eastAsia="Times New Roman" w:cs="Times New Roman"/>
          <w:sz w:val="24"/>
        </w:rPr>
        <w:t xml:space="preserve">, compared to </w:t>
      </w:r>
      <w:r>
        <w:rPr>
          <w:rFonts w:ascii="Times New Roman" w:hAnsi="Times New Roman" w:eastAsia="Times New Roman" w:cs="Times New Roman"/>
          <w:sz w:val="24"/>
        </w:rPr>
        <w:t xml:space="preserve">$25.8 million</w:t>
      </w:r>
      <w:r>
        <w:rPr>
          <w:rFonts w:ascii="Times New Roman" w:hAnsi="Times New Roman" w:eastAsia="Times New Roman" w:cs="Times New Roman"/>
          <w:sz w:val="24"/>
        </w:rPr>
        <w:t xml:space="preserve"> for the quarter ended </w:t>
      </w:r>
      <w:r>
        <w:rPr>
          <w:rFonts w:ascii="Times New Roman" w:hAnsi="Times New Roman" w:eastAsia="Times New Roman" w:cs="Times New Roman"/>
          <w:sz w:val="24"/>
        </w:rPr>
        <w:t xml:space="preserve">March 31, 2013</w:t>
      </w:r>
      <w:r>
        <w:rPr>
          <w:rFonts w:ascii="Times New Roman" w:hAnsi="Times New Roman" w:eastAsia="Times New Roman" w:cs="Times New Roman"/>
          <w:sz w:val="24"/>
        </w:rPr>
        <w:t xml:space="preserve">.  </w:t>
      </w:r>
    </w:p>
    <w:p>
      <w:pPr>
        <w:ind w:left="720" w:firstLine="-360"/>
        <w:jc w:val="left"/>
        <w:spacing w:line="288.0" w:lineRule="auto" w:after="120.0"/>
        <w:rPr>
          <w:rFonts w:ascii="Times New Roman" w:hAnsi="Times New Roman" w:eastAsia="Times New Roman" w:cs="Times New Roman"/>
          <w:sz w:val="24"/>
          <w:rFonts w:ascii="Times New Roman" w:hAnsi="Times New Roman" w:eastAsia="Times New Roman" w:cs="Times New Roman"/>
          <w:sz w:val="24"/>
        </w:rPr>
        <w:numPr>
          <w:ilvl w:val="0"/>
          <w:numId w:val="1"/>
        </w:numPr>
      </w:pPr>
      <w:r>
        <w:rPr>
          <w:rFonts w:ascii="Times New Roman" w:hAnsi="Times New Roman" w:eastAsia="Times New Roman" w:cs="Times New Roman"/>
          <w:sz w:val="24"/>
        </w:rPr>
        <w:t xml:space="preserve"/>
      </w:r>
      <w:r>
        <w:rPr>
          <w:rFonts w:ascii="Times New Roman" w:hAnsi="Times New Roman" w:eastAsia="Times New Roman" w:cs="Times New Roman"/>
          <w:sz w:val="24"/>
        </w:rPr>
        <w:t xml:space="preserve">Revenue for the first quarter of </w:t>
      </w:r>
      <w:r>
        <w:rPr>
          <w:rFonts w:ascii="Times New Roman" w:hAnsi="Times New Roman" w:eastAsia="Times New Roman" w:cs="Times New Roman"/>
          <w:sz w:val="24"/>
        </w:rPr>
        <w:t xml:space="preserve">2014</w:t>
      </w:r>
      <w:r>
        <w:rPr>
          <w:rFonts w:ascii="Times New Roman" w:hAnsi="Times New Roman" w:eastAsia="Times New Roman" w:cs="Times New Roman"/>
          <w:sz w:val="24"/>
        </w:rPr>
        <w:t xml:space="preserve"> from exclusive technology products grew </w:t>
      </w:r>
      <w:r>
        <w:rPr>
          <w:rFonts w:ascii="Times New Roman" w:hAnsi="Times New Roman" w:eastAsia="Times New Roman" w:cs="Times New Roman"/>
          <w:sz w:val="24"/>
        </w:rPr>
        <w:t xml:space="preserve">26.9%</w:t>
      </w:r>
      <w:r>
        <w:rPr>
          <w:rFonts w:ascii="Times New Roman" w:hAnsi="Times New Roman" w:eastAsia="Times New Roman" w:cs="Times New Roman"/>
          <w:sz w:val="24"/>
        </w:rPr>
        <w:t xml:space="preserve"> to </w:t>
      </w:r>
      <w:r>
        <w:rPr>
          <w:rFonts w:ascii="Times New Roman" w:hAnsi="Times New Roman" w:eastAsia="Times New Roman" w:cs="Times New Roman"/>
          <w:sz w:val="24"/>
        </w:rPr>
        <w:t xml:space="preserve">$26.5 million</w:t>
      </w:r>
      <w:r>
        <w:rPr>
          <w:rFonts w:ascii="Times New Roman" w:hAnsi="Times New Roman" w:eastAsia="Times New Roman" w:cs="Times New Roman"/>
          <w:sz w:val="24"/>
        </w:rPr>
        <w:t xml:space="preserve">, compared to </w:t>
      </w:r>
      <w:r>
        <w:rPr>
          <w:rFonts w:ascii="Times New Roman" w:hAnsi="Times New Roman" w:eastAsia="Times New Roman" w:cs="Times New Roman"/>
          <w:sz w:val="24"/>
        </w:rPr>
        <w:t xml:space="preserve">$20.9 million</w:t>
      </w:r>
      <w:r>
        <w:rPr>
          <w:rFonts w:ascii="Times New Roman" w:hAnsi="Times New Roman" w:eastAsia="Times New Roman" w:cs="Times New Roman"/>
          <w:sz w:val="24"/>
        </w:rPr>
        <w:t xml:space="preserve"> for the </w:t>
      </w:r>
      <w:r>
        <w:rPr>
          <w:rFonts w:ascii="Times New Roman" w:hAnsi="Times New Roman" w:eastAsia="Times New Roman" w:cs="Times New Roman"/>
          <w:sz w:val="24"/>
        </w:rPr>
        <w:t xml:space="preserve">first</w:t>
      </w:r>
      <w:r>
        <w:rPr>
          <w:rFonts w:ascii="Times New Roman" w:hAnsi="Times New Roman" w:eastAsia="Times New Roman" w:cs="Times New Roman"/>
          <w:sz w:val="24"/>
        </w:rPr>
        <w:t xml:space="preserve"> quarter of </w:t>
      </w:r>
      <w:r>
        <w:rPr>
          <w:rFonts w:ascii="Times New Roman" w:hAnsi="Times New Roman" w:eastAsia="Times New Roman" w:cs="Times New Roman"/>
          <w:sz w:val="24"/>
        </w:rPr>
        <w:t xml:space="preserve">2013</w:t>
      </w:r>
      <w:r>
        <w:rPr>
          <w:rFonts w:ascii="Times New Roman" w:hAnsi="Times New Roman" w:eastAsia="Times New Roman" w:cs="Times New Roman"/>
          <w:sz w:val="24"/>
        </w:rPr>
        <w:t xml:space="preserve">.</w:t>
      </w:r>
    </w:p>
    <w:p>
      <w:pPr>
        <w:ind w:left="720" w:firstLine="-360"/>
        <w:jc w:val="left"/>
        <w:spacing w:line="288.0" w:lineRule="auto" w:after="120.0"/>
        <w:rPr>
          <w:rFonts w:ascii="Times New Roman" w:hAnsi="Times New Roman" w:eastAsia="Times New Roman" w:cs="Times New Roman"/>
          <w:sz w:val="24"/>
          <w:rFonts w:ascii="Times New Roman" w:hAnsi="Times New Roman" w:eastAsia="Times New Roman" w:cs="Times New Roman"/>
          <w:sz w:val="24"/>
        </w:rPr>
        <w:numPr>
          <w:ilvl w:val="0"/>
          <w:numId w:val="1"/>
        </w:numPr>
      </w:pPr>
      <w:r>
        <w:rPr>
          <w:rFonts w:ascii="Times New Roman" w:hAnsi="Times New Roman" w:eastAsia="Times New Roman" w:cs="Times New Roman"/>
          <w:sz w:val="24"/>
        </w:rPr>
        <w:t xml:space="preserve"/>
      </w:r>
      <w:r>
        <w:rPr>
          <w:rFonts w:ascii="Times New Roman" w:hAnsi="Times New Roman" w:eastAsia="Times New Roman" w:cs="Times New Roman"/>
          <w:sz w:val="24"/>
        </w:rPr>
        <w:t xml:space="preserve">Revenue in the United States increased </w:t>
      </w:r>
      <w:r>
        <w:rPr>
          <w:rFonts w:ascii="Times New Roman" w:hAnsi="Times New Roman" w:eastAsia="Times New Roman" w:cs="Times New Roman"/>
          <w:sz w:val="24"/>
        </w:rPr>
        <w:t xml:space="preserve">24.6%</w:t>
      </w:r>
      <w:r>
        <w:rPr>
          <w:rFonts w:ascii="Times New Roman" w:hAnsi="Times New Roman" w:eastAsia="Times New Roman" w:cs="Times New Roman"/>
          <w:sz w:val="24"/>
        </w:rPr>
        <w:t xml:space="preserve"> to </w:t>
      </w:r>
      <w:r>
        <w:rPr>
          <w:rFonts w:ascii="Times New Roman" w:hAnsi="Times New Roman" w:eastAsia="Times New Roman" w:cs="Times New Roman"/>
          <w:sz w:val="24"/>
        </w:rPr>
        <w:t xml:space="preserve">$23.2 million</w:t>
      </w:r>
      <w:r>
        <w:rPr>
          <w:rFonts w:ascii="Times New Roman" w:hAnsi="Times New Roman" w:eastAsia="Times New Roman" w:cs="Times New Roman"/>
          <w:sz w:val="24"/>
        </w:rPr>
        <w:t xml:space="preserve"> in the quarter, compared to </w:t>
      </w:r>
      <w:r>
        <w:rPr>
          <w:rFonts w:ascii="Times New Roman" w:hAnsi="Times New Roman" w:eastAsia="Times New Roman" w:cs="Times New Roman"/>
          <w:sz w:val="24"/>
        </w:rPr>
        <w:t xml:space="preserve">$18.6 million</w:t>
      </w:r>
      <w:r>
        <w:rPr>
          <w:rFonts w:ascii="Times New Roman" w:hAnsi="Times New Roman" w:eastAsia="Times New Roman" w:cs="Times New Roman"/>
          <w:sz w:val="24"/>
        </w:rPr>
        <w:t xml:space="preserve"> in the </w:t>
      </w:r>
      <w:r>
        <w:rPr>
          <w:rFonts w:ascii="Times New Roman" w:hAnsi="Times New Roman" w:eastAsia="Times New Roman" w:cs="Times New Roman"/>
          <w:sz w:val="24"/>
        </w:rPr>
        <w:t xml:space="preserve">first</w:t>
      </w:r>
      <w:r>
        <w:rPr>
          <w:rFonts w:ascii="Times New Roman" w:hAnsi="Times New Roman" w:eastAsia="Times New Roman" w:cs="Times New Roman"/>
          <w:sz w:val="24"/>
        </w:rPr>
        <w:t xml:space="preserve"> quarter of </w:t>
      </w:r>
      <w:r>
        <w:rPr>
          <w:rFonts w:ascii="Times New Roman" w:hAnsi="Times New Roman" w:eastAsia="Times New Roman" w:cs="Times New Roman"/>
          <w:sz w:val="24"/>
        </w:rPr>
        <w:t xml:space="preserve">2013</w:t>
      </w:r>
      <w:r>
        <w:rPr>
          <w:rFonts w:ascii="Times New Roman" w:hAnsi="Times New Roman" w:eastAsia="Times New Roman" w:cs="Times New Roman"/>
          <w:sz w:val="24"/>
        </w:rPr>
        <w:t xml:space="preserve">, and represented </w:t>
      </w:r>
      <w:r>
        <w:rPr>
          <w:rFonts w:ascii="Times New Roman" w:hAnsi="Times New Roman" w:eastAsia="Times New Roman" w:cs="Times New Roman"/>
          <w:sz w:val="24"/>
        </w:rPr>
        <w:t xml:space="preserve">74.6%</w:t>
      </w:r>
      <w:r>
        <w:rPr>
          <w:rFonts w:ascii="Times New Roman" w:hAnsi="Times New Roman" w:eastAsia="Times New Roman" w:cs="Times New Roman"/>
          <w:sz w:val="24"/>
        </w:rPr>
        <w:t xml:space="preserve"> of total revenue.</w:t>
      </w:r>
    </w:p>
    <w:p>
      <w:pPr>
        <w:ind w:left="720" w:firstLine="-360"/>
        <w:jc w:val="left"/>
        <w:spacing w:line="288.0" w:lineRule="auto" w:after="120.0"/>
        <w:rPr>
          <w:rFonts w:ascii="Times New Roman" w:hAnsi="Times New Roman" w:eastAsia="Times New Roman" w:cs="Times New Roman"/>
          <w:sz w:val="24"/>
          <w:rFonts w:ascii="Times New Roman" w:hAnsi="Times New Roman" w:eastAsia="Times New Roman" w:cs="Times New Roman"/>
          <w:sz w:val="24"/>
        </w:rPr>
        <w:numPr>
          <w:ilvl w:val="0"/>
          <w:numId w:val="1"/>
        </w:numPr>
      </w:pPr>
      <w:r>
        <w:rPr>
          <w:rFonts w:ascii="Times New Roman" w:hAnsi="Times New Roman" w:eastAsia="Times New Roman" w:cs="Times New Roman"/>
          <w:sz w:val="24"/>
        </w:rPr>
        <w:t xml:space="preserve"/>
      </w:r>
      <w:r>
        <w:rPr>
          <w:rFonts w:ascii="Times New Roman" w:hAnsi="Times New Roman" w:eastAsia="Times New Roman" w:cs="Times New Roman"/>
          <w:sz w:val="24"/>
        </w:rPr>
        <w:t xml:space="preserve">International revenue increased </w:t>
      </w:r>
      <w:r>
        <w:rPr>
          <w:rFonts w:ascii="Times New Roman" w:hAnsi="Times New Roman" w:eastAsia="Times New Roman" w:cs="Times New Roman"/>
          <w:sz w:val="24"/>
        </w:rPr>
        <w:t xml:space="preserve">9.0%</w:t>
      </w:r>
      <w:r>
        <w:rPr>
          <w:rFonts w:ascii="Times New Roman" w:hAnsi="Times New Roman" w:eastAsia="Times New Roman" w:cs="Times New Roman"/>
          <w:sz w:val="24"/>
        </w:rPr>
        <w:t xml:space="preserve"> during the </w:t>
      </w:r>
      <w:r>
        <w:rPr>
          <w:rFonts w:ascii="Times New Roman" w:hAnsi="Times New Roman" w:eastAsia="Times New Roman" w:cs="Times New Roman"/>
          <w:sz w:val="24"/>
        </w:rPr>
        <w:t xml:space="preserve">first</w:t>
      </w:r>
      <w:r>
        <w:rPr>
          <w:rFonts w:ascii="Times New Roman" w:hAnsi="Times New Roman" w:eastAsia="Times New Roman" w:cs="Times New Roman"/>
          <w:sz w:val="24"/>
        </w:rPr>
        <w:t xml:space="preserve"> quarter of </w:t>
      </w:r>
      <w:r>
        <w:rPr>
          <w:rFonts w:ascii="Times New Roman" w:hAnsi="Times New Roman" w:eastAsia="Times New Roman" w:cs="Times New Roman"/>
          <w:sz w:val="24"/>
        </w:rPr>
        <w:t xml:space="preserve">2014</w:t>
      </w:r>
      <w:r>
        <w:rPr>
          <w:rFonts w:ascii="Times New Roman" w:hAnsi="Times New Roman" w:eastAsia="Times New Roman" w:cs="Times New Roman"/>
          <w:sz w:val="24"/>
        </w:rPr>
        <w:t xml:space="preserve"> to </w:t>
      </w:r>
      <w:r>
        <w:rPr>
          <w:rFonts w:ascii="Times New Roman" w:hAnsi="Times New Roman" w:eastAsia="Times New Roman" w:cs="Times New Roman"/>
          <w:sz w:val="24"/>
        </w:rPr>
        <w:t xml:space="preserve">$7.9 million</w:t>
      </w:r>
      <w:r>
        <w:rPr>
          <w:rFonts w:ascii="Times New Roman" w:hAnsi="Times New Roman" w:eastAsia="Times New Roman" w:cs="Times New Roman"/>
          <w:sz w:val="24"/>
        </w:rPr>
        <w:t xml:space="preserve">, representing </w:t>
      </w:r>
      <w:r>
        <w:rPr>
          <w:rFonts w:ascii="Times New Roman" w:hAnsi="Times New Roman" w:eastAsia="Times New Roman" w:cs="Times New Roman"/>
          <w:sz w:val="24"/>
        </w:rPr>
        <w:t xml:space="preserve">25.4%</w:t>
      </w:r>
      <w:r>
        <w:rPr>
          <w:rFonts w:ascii="Times New Roman" w:hAnsi="Times New Roman" w:eastAsia="Times New Roman" w:cs="Times New Roman"/>
          <w:sz w:val="24"/>
        </w:rPr>
        <w:t xml:space="preserve"> of total revenue.  </w:t>
      </w:r>
    </w:p>
    <w:p>
      <w:pPr>
        <w:jc w:val="left"/>
        <w:spacing w:line="288.0" w:lineRule="auto" w:after="120.0"/>
        <w:rPr>
          <w:rFonts w:ascii="Times New Roman" w:hAnsi="Times New Roman" w:eastAsia="Times New Roman" w:cs="Times New Roman"/>
          <w:sz w:val="24"/>
        </w:rPr>
      </w:pPr>
      <w:r>
        <w:rPr>
          <w:rFonts w:ascii="Times New Roman" w:hAnsi="Times New Roman" w:eastAsia="Times New Roman" w:cs="Times New Roman"/>
          <w:sz w:val="24"/>
        </w:rPr>
        <w:t xml:space="preserve">In the </w:t>
      </w:r>
      <w:r>
        <w:rPr>
          <w:rFonts w:ascii="Times New Roman" w:hAnsi="Times New Roman" w:eastAsia="Times New Roman" w:cs="Times New Roman"/>
          <w:sz w:val="24"/>
        </w:rPr>
        <w:t xml:space="preserve">first</w:t>
      </w:r>
      <w:r>
        <w:rPr>
          <w:rFonts w:ascii="Times New Roman" w:hAnsi="Times New Roman" w:eastAsia="Times New Roman" w:cs="Times New Roman"/>
          <w:sz w:val="24"/>
        </w:rPr>
        <w:t xml:space="preserve"> quarter of </w:t>
      </w:r>
      <w:r>
        <w:rPr>
          <w:rFonts w:ascii="Times New Roman" w:hAnsi="Times New Roman" w:eastAsia="Times New Roman" w:cs="Times New Roman"/>
          <w:sz w:val="24"/>
        </w:rPr>
        <w:t xml:space="preserve">2014</w:t>
      </w:r>
      <w:r>
        <w:rPr>
          <w:rFonts w:ascii="Times New Roman" w:hAnsi="Times New Roman" w:eastAsia="Times New Roman" w:cs="Times New Roman"/>
          <w:sz w:val="24"/>
        </w:rPr>
        <w:t xml:space="preserve">, LDR's revenue from exclusive technology products grew </w:t>
      </w:r>
      <w:r>
        <w:rPr>
          <w:rFonts w:ascii="Times New Roman" w:hAnsi="Times New Roman" w:eastAsia="Times New Roman" w:cs="Times New Roman"/>
          <w:sz w:val="24"/>
        </w:rPr>
        <w:t xml:space="preserve">26.9%</w:t>
      </w:r>
      <w:r>
        <w:rPr>
          <w:rFonts w:ascii="Times New Roman" w:hAnsi="Times New Roman" w:eastAsia="Times New Roman" w:cs="Times New Roman"/>
          <w:sz w:val="24"/>
        </w:rPr>
        <w:t xml:space="preserve"> to </w:t>
      </w:r>
      <w:r>
        <w:rPr>
          <w:rFonts w:ascii="Times New Roman" w:hAnsi="Times New Roman" w:eastAsia="Times New Roman" w:cs="Times New Roman"/>
          <w:sz w:val="24"/>
        </w:rPr>
        <w:t xml:space="preserve">$26.5 million</w:t>
      </w:r>
      <w:r>
        <w:rPr>
          <w:rFonts w:ascii="Times New Roman" w:hAnsi="Times New Roman" w:eastAsia="Times New Roman" w:cs="Times New Roman"/>
          <w:sz w:val="24"/>
        </w:rPr>
        <w:t xml:space="preserve"> while revenue from traditional fusion products decreased </w:t>
      </w:r>
      <w:r>
        <w:rPr>
          <w:rFonts w:ascii="Times New Roman" w:hAnsi="Times New Roman" w:eastAsia="Times New Roman" w:cs="Times New Roman"/>
          <w:sz w:val="24"/>
        </w:rPr>
        <w:t xml:space="preserve">7.9%</w:t>
      </w:r>
      <w:r>
        <w:rPr>
          <w:rFonts w:ascii="Times New Roman" w:hAnsi="Times New Roman" w:eastAsia="Times New Roman" w:cs="Times New Roman"/>
          <w:sz w:val="24"/>
        </w:rPr>
        <w:t xml:space="preserve"> to </w:t>
      </w:r>
      <w:r>
        <w:rPr>
          <w:rFonts w:ascii="Times New Roman" w:hAnsi="Times New Roman" w:eastAsia="Times New Roman" w:cs="Times New Roman"/>
          <w:sz w:val="24"/>
        </w:rPr>
        <w:t xml:space="preserve">$4.6 million</w:t>
      </w:r>
      <w:r>
        <w:rPr>
          <w:rFonts w:ascii="Times New Roman" w:hAnsi="Times New Roman" w:eastAsia="Times New Roman" w:cs="Times New Roman"/>
          <w:sz w:val="24"/>
        </w:rPr>
        <w:t xml:space="preserve">. Revenue from sales of the Company's exclusive cervical products grew </w:t>
      </w:r>
      <w:r>
        <w:rPr>
          <w:rFonts w:ascii="Times New Roman" w:hAnsi="Times New Roman" w:eastAsia="Times New Roman" w:cs="Times New Roman"/>
          <w:sz w:val="24"/>
        </w:rPr>
        <w:t xml:space="preserve">34.0%</w:t>
      </w:r>
      <w:r>
        <w:rPr>
          <w:rFonts w:ascii="Times New Roman" w:hAnsi="Times New Roman" w:eastAsia="Times New Roman" w:cs="Times New Roman"/>
          <w:sz w:val="24"/>
        </w:rPr>
        <w:t xml:space="preserve"> in the </w:t>
      </w:r>
      <w:r>
        <w:rPr>
          <w:rFonts w:ascii="Times New Roman" w:hAnsi="Times New Roman" w:eastAsia="Times New Roman" w:cs="Times New Roman"/>
          <w:sz w:val="24"/>
        </w:rPr>
        <w:t xml:space="preserve">first</w:t>
      </w:r>
      <w:r>
        <w:rPr>
          <w:rFonts w:ascii="Times New Roman" w:hAnsi="Times New Roman" w:eastAsia="Times New Roman" w:cs="Times New Roman"/>
          <w:sz w:val="24"/>
        </w:rPr>
        <w:t xml:space="preserve"> quarter of </w:t>
      </w:r>
      <w:r>
        <w:rPr>
          <w:rFonts w:ascii="Times New Roman" w:hAnsi="Times New Roman" w:eastAsia="Times New Roman" w:cs="Times New Roman"/>
          <w:sz w:val="24"/>
        </w:rPr>
        <w:t xml:space="preserve">2014</w:t>
      </w:r>
      <w:r>
        <w:rPr>
          <w:rFonts w:ascii="Times New Roman" w:hAnsi="Times New Roman" w:eastAsia="Times New Roman" w:cs="Times New Roman"/>
          <w:sz w:val="24"/>
        </w:rPr>
        <w:t xml:space="preserve"> to </w:t>
      </w:r>
      <w:r>
        <w:rPr>
          <w:rFonts w:ascii="Times New Roman" w:hAnsi="Times New Roman" w:eastAsia="Times New Roman" w:cs="Times New Roman"/>
          <w:sz w:val="24"/>
        </w:rPr>
        <w:t xml:space="preserve">$17.7 million</w:t>
      </w:r>
      <w:r>
        <w:rPr>
          <w:rFonts w:ascii="Times New Roman" w:hAnsi="Times New Roman" w:eastAsia="Times New Roman" w:cs="Times New Roman"/>
          <w:sz w:val="24"/>
        </w:rPr>
        <w:t xml:space="preserve">, compared with </w:t>
      </w:r>
      <w:r>
        <w:rPr>
          <w:rFonts w:ascii="Times New Roman" w:hAnsi="Times New Roman" w:eastAsia="Times New Roman" w:cs="Times New Roman"/>
          <w:sz w:val="24"/>
        </w:rPr>
        <w:t xml:space="preserve">$13.2 million</w:t>
      </w:r>
      <w:r>
        <w:rPr>
          <w:rFonts w:ascii="Times New Roman" w:hAnsi="Times New Roman" w:eastAsia="Times New Roman" w:cs="Times New Roman"/>
          <w:sz w:val="24"/>
        </w:rPr>
        <w:t xml:space="preserve"> in the </w:t>
      </w:r>
      <w:r>
        <w:rPr>
          <w:rFonts w:ascii="Times New Roman" w:hAnsi="Times New Roman" w:eastAsia="Times New Roman" w:cs="Times New Roman"/>
          <w:sz w:val="24"/>
        </w:rPr>
        <w:t xml:space="preserve">first</w:t>
      </w:r>
      <w:r>
        <w:rPr>
          <w:rFonts w:ascii="Times New Roman" w:hAnsi="Times New Roman" w:eastAsia="Times New Roman" w:cs="Times New Roman"/>
          <w:sz w:val="24"/>
        </w:rPr>
        <w:t xml:space="preserve"> quarter of </w:t>
      </w:r>
      <w:r>
        <w:rPr>
          <w:rFonts w:ascii="Times New Roman" w:hAnsi="Times New Roman" w:eastAsia="Times New Roman" w:cs="Times New Roman"/>
          <w:sz w:val="24"/>
        </w:rPr>
        <w:t xml:space="preserve">2013</w:t>
      </w:r>
      <w:r>
        <w:rPr>
          <w:rFonts w:ascii="Times New Roman" w:hAnsi="Times New Roman" w:eastAsia="Times New Roman" w:cs="Times New Roman"/>
          <w:sz w:val="24"/>
        </w:rPr>
        <w:t xml:space="preserve">, due principally to the growth of Mobi-C. Additionally, revenue from LDR's exclusive lumbar products in the </w:t>
      </w:r>
      <w:r>
        <w:rPr>
          <w:rFonts w:ascii="Times New Roman" w:hAnsi="Times New Roman" w:eastAsia="Times New Roman" w:cs="Times New Roman"/>
          <w:sz w:val="24"/>
        </w:rPr>
        <w:t xml:space="preserve">first</w:t>
      </w:r>
      <w:r>
        <w:rPr>
          <w:rFonts w:ascii="Times New Roman" w:hAnsi="Times New Roman" w:eastAsia="Times New Roman" w:cs="Times New Roman"/>
          <w:sz w:val="24"/>
        </w:rPr>
        <w:t xml:space="preserve"> quarter increased </w:t>
      </w:r>
      <w:r>
        <w:rPr>
          <w:rFonts w:ascii="Times New Roman" w:hAnsi="Times New Roman" w:eastAsia="Times New Roman" w:cs="Times New Roman"/>
          <w:sz w:val="24"/>
        </w:rPr>
        <w:t xml:space="preserve">14.8%</w:t>
      </w:r>
      <w:r>
        <w:rPr>
          <w:rFonts w:ascii="Times New Roman" w:hAnsi="Times New Roman" w:eastAsia="Times New Roman" w:cs="Times New Roman"/>
          <w:sz w:val="24"/>
        </w:rPr>
        <w:t xml:space="preserve"> to </w:t>
      </w:r>
      <w:r>
        <w:rPr>
          <w:rFonts w:ascii="Times New Roman" w:hAnsi="Times New Roman" w:eastAsia="Times New Roman" w:cs="Times New Roman"/>
          <w:sz w:val="24"/>
        </w:rPr>
        <w:t xml:space="preserve">$8.8 million</w:t>
      </w:r>
      <w:r>
        <w:rPr>
          <w:rFonts w:ascii="Times New Roman" w:hAnsi="Times New Roman" w:eastAsia="Times New Roman" w:cs="Times New Roman"/>
          <w:sz w:val="24"/>
        </w:rPr>
        <w:t xml:space="preserve"> compared with </w:t>
      </w:r>
      <w:r>
        <w:rPr>
          <w:rFonts w:ascii="Times New Roman" w:hAnsi="Times New Roman" w:eastAsia="Times New Roman" w:cs="Times New Roman"/>
          <w:sz w:val="24"/>
        </w:rPr>
        <w:t xml:space="preserve">$7.7 million</w:t>
      </w:r>
      <w:r>
        <w:rPr>
          <w:rFonts w:ascii="Times New Roman" w:hAnsi="Times New Roman" w:eastAsia="Times New Roman" w:cs="Times New Roman"/>
          <w:sz w:val="24"/>
        </w:rPr>
        <w:t xml:space="preserve"> in the </w:t>
      </w:r>
      <w:r>
        <w:rPr>
          <w:rFonts w:ascii="Times New Roman" w:hAnsi="Times New Roman" w:eastAsia="Times New Roman" w:cs="Times New Roman"/>
          <w:sz w:val="24"/>
        </w:rPr>
        <w:t xml:space="preserve">first</w:t>
      </w:r>
      <w:r>
        <w:rPr>
          <w:rFonts w:ascii="Times New Roman" w:hAnsi="Times New Roman" w:eastAsia="Times New Roman" w:cs="Times New Roman"/>
          <w:sz w:val="24"/>
        </w:rPr>
        <w:t xml:space="preserve"> quarter of </w:t>
      </w:r>
      <w:r>
        <w:rPr>
          <w:rFonts w:ascii="Times New Roman" w:hAnsi="Times New Roman" w:eastAsia="Times New Roman" w:cs="Times New Roman"/>
          <w:sz w:val="24"/>
        </w:rPr>
        <w:t xml:space="preserve">2013</w:t>
      </w:r>
      <w:r>
        <w:rPr>
          <w:rFonts w:ascii="Times New Roman" w:hAnsi="Times New Roman" w:eastAsia="Times New Roman" w:cs="Times New Roman"/>
          <w:sz w:val="24"/>
        </w:rPr>
        <w:t xml:space="preserve">, led by revenue growth of the Avenue L</w:t>
      </w:r>
      <w:r>
        <w:rPr>
          <w:rFonts w:ascii="Times New Roman" w:hAnsi="Times New Roman" w:eastAsia="Times New Roman" w:cs="Times New Roman"/>
          <w:sz w:val="22"/>
        </w:rPr>
        <w:t xml:space="preserve"> </w:t>
      </w:r>
      <w:r>
        <w:rPr>
          <w:rFonts w:ascii="Times New Roman" w:hAnsi="Times New Roman" w:eastAsia="Times New Roman" w:cs="Times New Roman"/>
          <w:sz w:val="24"/>
        </w:rPr>
        <w:t xml:space="preserve">lateral lumbar fusion interbody device. Along with growth in LDR’s non-fusion products led by Mobi-C, LDR’s VerteBRIDGE fusion products for both the cervical and lumbar lines continues to grow, in part, because surgeons who are trained to use Mobi-C can be introduced to the balance of LDR's exclusive technology product lines for use in surgical cases where fusion is appropriate.</w:t>
      </w:r>
    </w:p>
    <w:p>
      <w:pPr>
        <w:jc w:val="left"/>
        <w:spacing w:line="288.0" w:lineRule="auto" w:after="120.0"/>
        <w:rPr>
          <w:rFonts w:ascii="Times New Roman" w:hAnsi="Times New Roman" w:eastAsia="Times New Roman" w:cs="Times New Roman"/>
          <w:sz w:val="24"/>
        </w:rPr>
      </w:pPr>
      <w:r>
        <w:rPr>
          <w:rFonts w:ascii="Times New Roman" w:hAnsi="Times New Roman" w:eastAsia="Times New Roman" w:cs="Times New Roman"/>
          <w:sz w:val="24"/>
        </w:rPr>
        <w:t xml:space="preserve">Christophe Lavigne, President and Chief Executive Officer of LDR, commented, “Our exclusive technology products grew at a strong rate again this quarter, aided by the availability of Mobi-C in the U.S. market, and higher revenues in both our cervical and lumbar product lines.  We were very pleased that the American Medical Association granted a Category 1 CPT code for two-level cervical disc replacement, effective January 1, 2015.  This is an important milestone for LDR as it will provide surgeons with certainty as to the payment rate for the two-level procedures they perform and will facilitate Mobi-C reimbursement. We are gratified by the strong interest among spine surgeons in education and training sessions for Mobi-C, the first and only cervical disc replacement device to receive FDA approval to treat both one-level and two-level cervical disc disease. We are continuing to train surgeons to use Mobi-C and are actively working with their hospitals to finalize the access and pricing necessary to conduct their initial cases. In the sales area, the availability of Mobi-C and its superiority claim has been quite attractive to independent sales agencies which otherwise do not have access to cervical disc replacement devices.”</w:t>
      </w:r>
    </w:p>
    <w:p>
      <w:pPr>
        <w:jc w:val="left"/>
        <w:spacing w:line="288.0" w:lineRule="auto" w:after="120.0"/>
        <w:rPr>
          <w:rFonts w:ascii="Times New Roman" w:hAnsi="Times New Roman" w:eastAsia="Times New Roman" w:cs="Times New Roman"/>
          <w:sz w:val="24"/>
        </w:rPr>
      </w:pPr>
      <w:r>
        <w:rPr>
          <w:rFonts w:ascii="Times New Roman" w:hAnsi="Times New Roman" w:eastAsia="Times New Roman" w:cs="Times New Roman"/>
          <w:sz w:val="24"/>
        </w:rPr>
        <w:t xml:space="preserve">Gross profit for the </w:t>
      </w:r>
      <w:r>
        <w:rPr>
          <w:rFonts w:ascii="Times New Roman" w:hAnsi="Times New Roman" w:eastAsia="Times New Roman" w:cs="Times New Roman"/>
          <w:sz w:val="24"/>
        </w:rPr>
        <w:t xml:space="preserve">first</w:t>
      </w:r>
      <w:r>
        <w:rPr>
          <w:rFonts w:ascii="Times New Roman" w:hAnsi="Times New Roman" w:eastAsia="Times New Roman" w:cs="Times New Roman"/>
          <w:sz w:val="24"/>
        </w:rPr>
        <w:t xml:space="preserve"> quarter of </w:t>
      </w:r>
      <w:r>
        <w:rPr>
          <w:rFonts w:ascii="Times New Roman" w:hAnsi="Times New Roman" w:eastAsia="Times New Roman" w:cs="Times New Roman"/>
          <w:sz w:val="24"/>
        </w:rPr>
        <w:t xml:space="preserve">2014</w:t>
      </w:r>
      <w:r>
        <w:rPr>
          <w:rFonts w:ascii="Times New Roman" w:hAnsi="Times New Roman" w:eastAsia="Times New Roman" w:cs="Times New Roman"/>
          <w:sz w:val="24"/>
        </w:rPr>
        <w:t xml:space="preserve"> was </w:t>
      </w:r>
      <w:r>
        <w:rPr>
          <w:rFonts w:ascii="Times New Roman" w:hAnsi="Times New Roman" w:eastAsia="Times New Roman" w:cs="Times New Roman"/>
          <w:sz w:val="24"/>
        </w:rPr>
        <w:t xml:space="preserve">$25.8 million</w:t>
      </w:r>
      <w:r>
        <w:rPr>
          <w:rFonts w:ascii="Times New Roman" w:hAnsi="Times New Roman" w:eastAsia="Times New Roman" w:cs="Times New Roman"/>
          <w:sz w:val="24"/>
        </w:rPr>
        <w:t xml:space="preserve"> and gross margin was </w:t>
      </w:r>
      <w:r>
        <w:rPr>
          <w:rFonts w:ascii="Times New Roman" w:hAnsi="Times New Roman" w:eastAsia="Times New Roman" w:cs="Times New Roman"/>
          <w:sz w:val="24"/>
        </w:rPr>
        <w:t xml:space="preserve">83.1%</w:t>
      </w:r>
      <w:r>
        <w:rPr>
          <w:rFonts w:ascii="Times New Roman" w:hAnsi="Times New Roman" w:eastAsia="Times New Roman" w:cs="Times New Roman"/>
          <w:sz w:val="24"/>
        </w:rPr>
        <w:t xml:space="preserve">, compared to a gross profit of </w:t>
      </w:r>
      <w:r>
        <w:rPr>
          <w:rFonts w:ascii="Times New Roman" w:hAnsi="Times New Roman" w:eastAsia="Times New Roman" w:cs="Times New Roman"/>
          <w:sz w:val="24"/>
        </w:rPr>
        <w:t xml:space="preserve">$21.5 million</w:t>
      </w:r>
      <w:r>
        <w:rPr>
          <w:rFonts w:ascii="Times New Roman" w:hAnsi="Times New Roman" w:eastAsia="Times New Roman" w:cs="Times New Roman"/>
          <w:sz w:val="24"/>
        </w:rPr>
        <w:t xml:space="preserve"> and gross margin of </w:t>
      </w:r>
      <w:r>
        <w:rPr>
          <w:rFonts w:ascii="Times New Roman" w:hAnsi="Times New Roman" w:eastAsia="Times New Roman" w:cs="Times New Roman"/>
          <w:sz w:val="24"/>
        </w:rPr>
        <w:t xml:space="preserve">83.4%</w:t>
      </w:r>
      <w:r>
        <w:rPr>
          <w:rFonts w:ascii="Times New Roman" w:hAnsi="Times New Roman" w:eastAsia="Times New Roman" w:cs="Times New Roman"/>
          <w:sz w:val="24"/>
        </w:rPr>
        <w:t xml:space="preserve"> for the </w:t>
      </w:r>
      <w:r>
        <w:rPr>
          <w:rFonts w:ascii="Times New Roman" w:hAnsi="Times New Roman" w:eastAsia="Times New Roman" w:cs="Times New Roman"/>
          <w:sz w:val="24"/>
        </w:rPr>
        <w:t xml:space="preserve">first</w:t>
      </w:r>
      <w:r>
        <w:rPr>
          <w:rFonts w:ascii="Times New Roman" w:hAnsi="Times New Roman" w:eastAsia="Times New Roman" w:cs="Times New Roman"/>
          <w:sz w:val="24"/>
        </w:rPr>
        <w:t xml:space="preserve"> quarter of </w:t>
      </w:r>
      <w:r>
        <w:rPr>
          <w:rFonts w:ascii="Times New Roman" w:hAnsi="Times New Roman" w:eastAsia="Times New Roman" w:cs="Times New Roman"/>
          <w:sz w:val="24"/>
        </w:rPr>
        <w:t xml:space="preserve">2013</w:t>
      </w:r>
      <w:r>
        <w:rPr>
          <w:rFonts w:ascii="Times New Roman" w:hAnsi="Times New Roman" w:eastAsia="Times New Roman" w:cs="Times New Roman"/>
          <w:sz w:val="24"/>
        </w:rPr>
        <w:t xml:space="preserve">. </w:t>
      </w:r>
    </w:p>
    <w:p>
      <w:pPr>
        <w:jc w:val="left"/>
        <w:spacing w:line="288.0" w:lineRule="auto" w:after="120.0"/>
        <w:rPr>
          <w:rFonts w:ascii="Times New Roman" w:hAnsi="Times New Roman" w:eastAsia="Times New Roman" w:cs="Times New Roman"/>
          <w:sz w:val="24"/>
        </w:rPr>
      </w:pPr>
      <w:r>
        <w:rPr>
          <w:rFonts w:ascii="Times New Roman" w:hAnsi="Times New Roman" w:eastAsia="Times New Roman" w:cs="Times New Roman"/>
          <w:sz w:val="24"/>
        </w:rPr>
        <w:t xml:space="preserve">Net loss for the </w:t>
      </w:r>
      <w:r>
        <w:rPr>
          <w:rFonts w:ascii="Times New Roman" w:hAnsi="Times New Roman" w:eastAsia="Times New Roman" w:cs="Times New Roman"/>
          <w:sz w:val="24"/>
        </w:rPr>
        <w:t xml:space="preserve">first</w:t>
      </w:r>
      <w:r>
        <w:rPr>
          <w:rFonts w:ascii="Times New Roman" w:hAnsi="Times New Roman" w:eastAsia="Times New Roman" w:cs="Times New Roman"/>
          <w:sz w:val="24"/>
        </w:rPr>
        <w:t xml:space="preserve"> quarter of </w:t>
      </w:r>
      <w:r>
        <w:rPr>
          <w:rFonts w:ascii="Times New Roman" w:hAnsi="Times New Roman" w:eastAsia="Times New Roman" w:cs="Times New Roman"/>
          <w:sz w:val="24"/>
        </w:rPr>
        <w:t xml:space="preserve">2014</w:t>
      </w:r>
      <w:r>
        <w:rPr>
          <w:rFonts w:ascii="Times New Roman" w:hAnsi="Times New Roman" w:eastAsia="Times New Roman" w:cs="Times New Roman"/>
          <w:sz w:val="24"/>
        </w:rPr>
        <w:t xml:space="preserve"> totaled </w:t>
      </w:r>
      <w:r>
        <w:rPr>
          <w:rFonts w:ascii="Times New Roman" w:hAnsi="Times New Roman" w:eastAsia="Times New Roman" w:cs="Times New Roman"/>
          <w:sz w:val="24"/>
        </w:rPr>
        <w:t xml:space="preserve">$3.5 million</w:t>
      </w:r>
      <w:r>
        <w:rPr>
          <w:rFonts w:ascii="Times New Roman" w:hAnsi="Times New Roman" w:eastAsia="Times New Roman" w:cs="Times New Roman"/>
          <w:sz w:val="24"/>
        </w:rPr>
        <w:t xml:space="preserve">, or </w:t>
      </w:r>
      <w:r>
        <w:rPr>
          <w:rFonts w:ascii="Times New Roman" w:hAnsi="Times New Roman" w:eastAsia="Times New Roman" w:cs="Times New Roman"/>
          <w:sz w:val="24"/>
        </w:rPr>
        <w:t xml:space="preserve">$0.15</w:t>
      </w:r>
      <w:r>
        <w:rPr>
          <w:rFonts w:ascii="Times New Roman" w:hAnsi="Times New Roman" w:eastAsia="Times New Roman" w:cs="Times New Roman"/>
          <w:sz w:val="24"/>
        </w:rPr>
        <w:t xml:space="preserve"> per share, compared to a net loss of </w:t>
      </w:r>
      <w:r>
        <w:rPr>
          <w:rFonts w:ascii="Times New Roman" w:hAnsi="Times New Roman" w:eastAsia="Times New Roman" w:cs="Times New Roman"/>
          <w:sz w:val="24"/>
        </w:rPr>
        <w:t xml:space="preserve">$1.9 million</w:t>
      </w:r>
      <w:r>
        <w:rPr>
          <w:rFonts w:ascii="Times New Roman" w:hAnsi="Times New Roman" w:eastAsia="Times New Roman" w:cs="Times New Roman"/>
          <w:sz w:val="24"/>
        </w:rPr>
        <w:t xml:space="preserve">, or </w:t>
      </w:r>
      <w:r>
        <w:rPr>
          <w:rFonts w:ascii="Times New Roman" w:hAnsi="Times New Roman" w:eastAsia="Times New Roman" w:cs="Times New Roman"/>
          <w:sz w:val="24"/>
        </w:rPr>
        <w:t xml:space="preserve">$0.41</w:t>
      </w:r>
      <w:r>
        <w:rPr>
          <w:rFonts w:ascii="Times New Roman" w:hAnsi="Times New Roman" w:eastAsia="Times New Roman" w:cs="Times New Roman"/>
          <w:sz w:val="24"/>
        </w:rPr>
        <w:t xml:space="preserve"> per share, for the same quarter a year ago. </w:t>
      </w:r>
    </w:p>
    <w:p>
      <w:pPr>
        <w:jc w:val="left"/>
        <w:spacing w:line="288.0" w:lineRule="auto" w:after="120.0"/>
        <w:rPr>
          <w:rFonts w:ascii="Times New Roman" w:hAnsi="Times New Roman" w:eastAsia="Times New Roman" w:cs="Times New Roman"/>
          <w:sz w:val="24"/>
        </w:rPr>
      </w:pPr>
      <w:r>
        <w:rPr>
          <w:rFonts w:ascii="Times New Roman" w:hAnsi="Times New Roman" w:eastAsia="Times New Roman" w:cs="Times New Roman"/>
          <w:sz w:val="24"/>
        </w:rPr>
        <w:t xml:space="preserve">Adjusted EBITDA for the </w:t>
      </w:r>
      <w:r>
        <w:rPr>
          <w:rFonts w:ascii="Times New Roman" w:hAnsi="Times New Roman" w:eastAsia="Times New Roman" w:cs="Times New Roman"/>
          <w:sz w:val="24"/>
        </w:rPr>
        <w:t xml:space="preserve">first</w:t>
      </w:r>
      <w:r>
        <w:rPr>
          <w:rFonts w:ascii="Times New Roman" w:hAnsi="Times New Roman" w:eastAsia="Times New Roman" w:cs="Times New Roman"/>
          <w:sz w:val="24"/>
        </w:rPr>
        <w:t xml:space="preserve"> quarter of </w:t>
      </w:r>
      <w:r>
        <w:rPr>
          <w:rFonts w:ascii="Times New Roman" w:hAnsi="Times New Roman" w:eastAsia="Times New Roman" w:cs="Times New Roman"/>
          <w:sz w:val="24"/>
        </w:rPr>
        <w:t xml:space="preserve">2014</w:t>
      </w:r>
      <w:r>
        <w:rPr>
          <w:rFonts w:ascii="Times New Roman" w:hAnsi="Times New Roman" w:eastAsia="Times New Roman" w:cs="Times New Roman"/>
          <w:sz w:val="24"/>
        </w:rPr>
        <w:t xml:space="preserve"> was </w:t>
      </w:r>
      <w:r>
        <w:rPr>
          <w:rFonts w:ascii="Times New Roman" w:hAnsi="Times New Roman" w:eastAsia="Times New Roman" w:cs="Times New Roman"/>
          <w:sz w:val="24"/>
        </w:rPr>
        <w:t xml:space="preserve">$(1.0) million</w:t>
      </w:r>
      <w:r>
        <w:rPr>
          <w:rFonts w:ascii="Times New Roman" w:hAnsi="Times New Roman" w:eastAsia="Times New Roman" w:cs="Times New Roman"/>
          <w:sz w:val="24"/>
        </w:rPr>
        <w:t xml:space="preserve"> compared to an adjusted EBITDA of </w:t>
      </w:r>
      <w:r>
        <w:rPr>
          <w:rFonts w:ascii="Times New Roman" w:hAnsi="Times New Roman" w:eastAsia="Times New Roman" w:cs="Times New Roman"/>
          <w:sz w:val="24"/>
        </w:rPr>
        <w:t xml:space="preserve">$0.7 million</w:t>
      </w:r>
      <w:r>
        <w:rPr>
          <w:rFonts w:ascii="Times New Roman" w:hAnsi="Times New Roman" w:eastAsia="Times New Roman" w:cs="Times New Roman"/>
          <w:sz w:val="24"/>
        </w:rPr>
        <w:t xml:space="preserve"> for the </w:t>
      </w:r>
      <w:r>
        <w:rPr>
          <w:rFonts w:ascii="Times New Roman" w:hAnsi="Times New Roman" w:eastAsia="Times New Roman" w:cs="Times New Roman"/>
          <w:sz w:val="24"/>
        </w:rPr>
        <w:t xml:space="preserve">first</w:t>
      </w:r>
      <w:r>
        <w:rPr>
          <w:rFonts w:ascii="Times New Roman" w:hAnsi="Times New Roman" w:eastAsia="Times New Roman" w:cs="Times New Roman"/>
          <w:sz w:val="24"/>
        </w:rPr>
        <w:t xml:space="preserve"> quarter of </w:t>
      </w:r>
      <w:r>
        <w:rPr>
          <w:rFonts w:ascii="Times New Roman" w:hAnsi="Times New Roman" w:eastAsia="Times New Roman" w:cs="Times New Roman"/>
          <w:sz w:val="24"/>
        </w:rPr>
        <w:t xml:space="preserve">2013</w:t>
      </w:r>
      <w:r>
        <w:rPr>
          <w:rFonts w:ascii="Times New Roman" w:hAnsi="Times New Roman" w:eastAsia="Times New Roman" w:cs="Times New Roman"/>
          <w:sz w:val="24"/>
        </w:rPr>
        <w:t xml:space="preserve">. </w:t>
      </w:r>
    </w:p>
    <w:p>
      <w:pPr>
        <w:jc w:val="left"/>
        <w:spacing w:line="288.0" w:lineRule="auto" w:after="120.0"/>
        <w:rPr>
          <w:rFonts w:ascii="Times New Roman" w:hAnsi="Times New Roman" w:eastAsia="Times New Roman" w:cs="Times New Roman"/>
          <w:sz w:val="24"/>
        </w:rPr>
      </w:pPr>
      <w:r>
        <w:rPr>
          <w:rFonts w:ascii="Times New Roman" w:hAnsi="Times New Roman" w:eastAsia="Times New Roman" w:cs="Times New Roman"/>
          <w:sz w:val="24"/>
        </w:rPr>
        <w:t xml:space="preserve">Mr. Lavigne added, “Our exclusive technology products uniquely meet patient and surgeon needs and represent a significant sales opportunity in today’s spine marketplace. We are continuing to take full advantage of this opportunity through investments in surgeon training and education, our reimbursement and corporate organizations, and our sales and marketing infrastructure. We expect these investments will enhance LDR's growth profile and long-term competitive position.”</w:t>
      </w:r>
    </w:p>
    <w:p>
      <w:pPr>
        <w:jc w:val="left"/>
        <w:spacing w:line="288.0" w:lineRule="auto" w:after="120.0"/>
        <w:rPr>
          <w:rFonts w:ascii="Times New Roman" w:hAnsi="Times New Roman" w:eastAsia="Times New Roman" w:cs="Times New Roman"/>
          <w:sz w:val="24"/>
          <w:b w:val="true"/>
        </w:rPr>
      </w:pPr>
      <w:r>
        <w:rPr>
          <w:rFonts w:ascii="Times New Roman" w:hAnsi="Times New Roman" w:eastAsia="Times New Roman" w:cs="Times New Roman"/>
          <w:sz w:val="24"/>
          <w:b w:val="true"/>
        </w:rPr>
        <w:t xml:space="preserve">Balance Sheet and Liquidity</w:t>
      </w:r>
    </w:p>
    <w:p>
      <w:pPr>
        <w:jc w:val="left"/>
        <w:spacing w:line="288.0" w:lineRule="auto" w:after="120.0"/>
        <w:rPr>
          <w:rFonts w:ascii="Times New Roman" w:hAnsi="Times New Roman" w:eastAsia="Times New Roman" w:cs="Times New Roman"/>
          <w:sz w:val="24"/>
        </w:rPr>
      </w:pPr>
      <w:r>
        <w:rPr>
          <w:rFonts w:ascii="Times New Roman" w:hAnsi="Times New Roman" w:eastAsia="Times New Roman" w:cs="Times New Roman"/>
          <w:sz w:val="24"/>
        </w:rPr>
        <w:t xml:space="preserve">As of </w:t>
      </w:r>
      <w:r>
        <w:rPr>
          <w:rFonts w:ascii="Times New Roman" w:hAnsi="Times New Roman" w:eastAsia="Times New Roman" w:cs="Times New Roman"/>
          <w:sz w:val="24"/>
        </w:rPr>
        <w:t xml:space="preserve">March 31, 2014</w:t>
      </w:r>
      <w:r>
        <w:rPr>
          <w:rFonts w:ascii="Times New Roman" w:hAnsi="Times New Roman" w:eastAsia="Times New Roman" w:cs="Times New Roman"/>
          <w:sz w:val="24"/>
        </w:rPr>
        <w:t xml:space="preserve">, LDR had </w:t>
      </w:r>
      <w:r>
        <w:rPr>
          <w:rFonts w:ascii="Times New Roman" w:hAnsi="Times New Roman" w:eastAsia="Times New Roman" w:cs="Times New Roman"/>
          <w:sz w:val="24"/>
        </w:rPr>
        <w:t xml:space="preserve">$49.8 million</w:t>
      </w:r>
      <w:r>
        <w:rPr>
          <w:rFonts w:ascii="Times New Roman" w:hAnsi="Times New Roman" w:eastAsia="Times New Roman" w:cs="Times New Roman"/>
          <w:sz w:val="24"/>
        </w:rPr>
        <w:t xml:space="preserve"> in cash and cash equivalents, </w:t>
      </w:r>
      <w:r>
        <w:rPr>
          <w:rFonts w:ascii="Times New Roman" w:hAnsi="Times New Roman" w:eastAsia="Times New Roman" w:cs="Times New Roman"/>
          <w:sz w:val="24"/>
        </w:rPr>
        <w:t xml:space="preserve">$71.6 million</w:t>
      </w:r>
      <w:r>
        <w:rPr>
          <w:rFonts w:ascii="Times New Roman" w:hAnsi="Times New Roman" w:eastAsia="Times New Roman" w:cs="Times New Roman"/>
          <w:sz w:val="24"/>
        </w:rPr>
        <w:t xml:space="preserve"> in working capital and </w:t>
      </w:r>
      <w:r>
        <w:rPr>
          <w:rFonts w:ascii="Times New Roman" w:hAnsi="Times New Roman" w:eastAsia="Times New Roman" w:cs="Times New Roman"/>
          <w:sz w:val="24"/>
        </w:rPr>
        <w:t xml:space="preserve">$23.2 million</w:t>
      </w:r>
      <w:r>
        <w:rPr>
          <w:rFonts w:ascii="Times New Roman" w:hAnsi="Times New Roman" w:eastAsia="Times New Roman" w:cs="Times New Roman"/>
          <w:sz w:val="24"/>
        </w:rPr>
        <w:t xml:space="preserve"> in debt. </w:t>
      </w:r>
    </w:p>
    <w:p>
      <w:pPr>
        <w:jc w:val="left"/>
        <w:spacing w:line="288.0" w:lineRule="auto" w:after="120.0"/>
        <w:rPr>
          <w:rFonts w:ascii="Times New Roman" w:hAnsi="Times New Roman" w:eastAsia="Times New Roman" w:cs="Times New Roman"/>
          <w:sz w:val="24"/>
          <w:b w:val="true"/>
        </w:rPr>
      </w:pPr>
      <w:r>
        <w:rPr>
          <w:rFonts w:ascii="Times New Roman" w:hAnsi="Times New Roman" w:eastAsia="Times New Roman" w:cs="Times New Roman"/>
          <w:sz w:val="24"/>
          <w:b w:val="true"/>
        </w:rPr>
        <w:t xml:space="preserve">Conference Call</w:t>
      </w:r>
    </w:p>
    <w:p>
      <w:pPr>
        <w:jc w:val="left"/>
        <w:spacing w:line="288.0" w:lineRule="auto" w:after="120.0"/>
        <w:rPr>
          <w:rFonts w:ascii="Times New Roman" w:hAnsi="Times New Roman" w:eastAsia="Times New Roman" w:cs="Times New Roman"/>
          <w:sz w:val="24"/>
        </w:rPr>
      </w:pPr>
      <w:r>
        <w:rPr>
          <w:rFonts w:ascii="Times New Roman" w:hAnsi="Times New Roman" w:eastAsia="Times New Roman" w:cs="Times New Roman"/>
          <w:sz w:val="24"/>
        </w:rPr>
        <w:t xml:space="preserve">LDR Holding Corporation will host a conference call today at 5:00 p.m. Eastern Time to discuss its </w:t>
      </w:r>
      <w:r>
        <w:rPr>
          <w:rFonts w:ascii="Times New Roman" w:hAnsi="Times New Roman" w:eastAsia="Times New Roman" w:cs="Times New Roman"/>
          <w:sz w:val="24"/>
        </w:rPr>
        <w:t xml:space="preserve">first</w:t>
      </w:r>
      <w:r>
        <w:rPr>
          <w:rFonts w:ascii="Times New Roman" w:hAnsi="Times New Roman" w:eastAsia="Times New Roman" w:cs="Times New Roman"/>
          <w:sz w:val="24"/>
        </w:rPr>
        <w:t xml:space="preserve"> quarter </w:t>
      </w:r>
      <w:r>
        <w:rPr>
          <w:rFonts w:ascii="Times New Roman" w:hAnsi="Times New Roman" w:eastAsia="Times New Roman" w:cs="Times New Roman"/>
          <w:sz w:val="24"/>
        </w:rPr>
        <w:t xml:space="preserve">2014</w:t>
      </w:r>
      <w:r>
        <w:rPr>
          <w:rFonts w:ascii="Times New Roman" w:hAnsi="Times New Roman" w:eastAsia="Times New Roman" w:cs="Times New Roman"/>
          <w:sz w:val="24"/>
        </w:rPr>
        <w:t xml:space="preserve"> financial results. The conference call will be available to interested parties through a live audio webcast available through LDR's website at </w:t>
      </w:r>
      <w:r>
        <w:rPr>
          <w:rFonts w:ascii="Times New Roman" w:hAnsi="Times New Roman" w:eastAsia="Times New Roman" w:cs="Times New Roman"/>
          <w:sz w:val="24"/>
          <w:color w:val="0000ff"/>
          <w:u w:val="single" w:color="0000ff"/>
        </w:rPr>
        <w:t xml:space="preserve">www.ldr.com</w:t>
      </w:r>
      <w:r>
        <w:rPr>
          <w:rFonts w:ascii="Times New Roman" w:hAnsi="Times New Roman" w:eastAsia="Times New Roman" w:cs="Times New Roman"/>
          <w:sz w:val="24"/>
        </w:rPr>
        <w:t xml:space="preserve">.  Those without internet access may join the call from within the United States by dialing (877) 312-5637; outside the United States, by dialing (253) 237-1149.</w:t>
      </w:r>
    </w:p>
    <w:p>
      <w:pPr>
        <w:jc w:val="left"/>
        <w:spacing w:line="288.0" w:lineRule="auto" w:after="120.0"/>
        <w:rPr>
          <w:rFonts w:ascii="Times New Roman" w:hAnsi="Times New Roman" w:eastAsia="Times New Roman" w:cs="Times New Roman"/>
          <w:sz w:val="24"/>
        </w:rPr>
      </w:pPr>
      <w:r>
        <w:rPr>
          <w:rFonts w:ascii="Times New Roman" w:hAnsi="Times New Roman" w:eastAsia="Times New Roman" w:cs="Times New Roman"/>
          <w:sz w:val="24"/>
        </w:rPr>
        <w:t xml:space="preserve">A telephone replay will be available for two weeks following the call by dialing (855) 859-2056 for domestic participants and (404) 537-3406 for international participants. When prompted, please enter the replay pin number 40465782.  For those who are not available to listen to the live webcast, the call will be archived for 90 days on LDR Holding's website.</w:t>
      </w:r>
    </w:p>
    <w:p>
      <w:pPr>
        <w:jc w:val="left"/>
        <w:keepNext/>
        <w:keepLines/>
        <w:spacing w:line="288.0" w:lineRule="auto" w:after="120.0"/>
        <w:rPr>
          <w:rFonts w:ascii="Times New Roman" w:hAnsi="Times New Roman" w:eastAsia="Times New Roman" w:cs="Times New Roman"/>
          <w:sz w:val="24"/>
          <w:b w:val="true"/>
        </w:rPr>
      </w:pPr>
      <w:r>
        <w:rPr>
          <w:rFonts w:ascii="Times New Roman" w:hAnsi="Times New Roman" w:eastAsia="Times New Roman" w:cs="Times New Roman"/>
          <w:sz w:val="24"/>
          <w:b w:val="true"/>
        </w:rPr>
        <w:t xml:space="preserve">Forward-Looking Statements</w:t>
      </w:r>
      <w:r>
        <w:rPr>
          <w:rFonts w:ascii="Times New Roman" w:hAnsi="Times New Roman" w:eastAsia="Times New Roman" w:cs="Times New Roman"/>
          <w:sz w:val="24"/>
        </w:rPr>
        <w:t xml:space="preserve"> </w:t>
      </w:r>
    </w:p>
    <w:p>
      <w:pPr>
        <w:jc w:val="left"/>
        <w:keepLines/>
        <w:spacing w:line="288.0" w:lineRule="auto" w:after="120.0"/>
        <w:rPr>
          <w:rFonts w:ascii="Times New Roman" w:hAnsi="Times New Roman" w:eastAsia="Times New Roman" w:cs="Times New Roman"/>
          <w:sz w:val="24"/>
        </w:rPr>
      </w:pPr>
      <w:r>
        <w:rPr>
          <w:rFonts w:ascii="Times New Roman" w:hAnsi="Times New Roman" w:eastAsia="Times New Roman" w:cs="Times New Roman"/>
          <w:sz w:val="24"/>
        </w:rPr>
        <w:t xml:space="preserve">This press release contains statements that constitute forward-looking statements within the meaning of the Securities Act of 1933 and the Securities Exchange Act of 1934, as amended by the Private Securities Litigation Reform Act of 1995.  Forward-looking statements contained in this press release include the intent, belief or current expectations of LDR and members of its management team with respect to LDR's future business operations as well as the assumptions upon which such statements are based. Forward-looking statements include specifically, but are not limited to, LDR's market opportunities, growth, future products, market acceptance of its products, sales and financial results and such statements are subject to risks and uncertainties such as the timing and success of new product introductions, physician acceptance, endorsement, and use of LDR's products, regulatory matters, competitor activities, changes in and adoption of reimbursement rates, potential product recalls, effects of global economic conditions and changes in foreign currency exchange rates. Additional factors that could cause actual results to differ materially from those contemplated within this press release can also be found in LDR's Risk Factors disclosure in its Annual Report on Form 10-K, filed on March 4, 2014, and in LDR's other filings with the SEC. LDR disclaims any responsibility to update any forward-looking statements.</w:t>
      </w:r>
    </w:p>
    <w:p>
      <w:pPr>
        <w:jc w:val="left"/>
        <w:spacing w:line="288.0" w:lineRule="auto" w:after="120.0"/>
        <w:rPr>
          <w:rFonts w:ascii="Times New Roman" w:hAnsi="Times New Roman" w:eastAsia="Times New Roman" w:cs="Times New Roman"/>
          <w:sz w:val="24"/>
          <w:b w:val="true"/>
        </w:rPr>
      </w:pPr>
      <w:r>
        <w:rPr>
          <w:rFonts w:ascii="Times New Roman" w:hAnsi="Times New Roman" w:eastAsia="Times New Roman" w:cs="Times New Roman"/>
          <w:sz w:val="24"/>
          <w:b w:val="true"/>
        </w:rPr>
        <w:t xml:space="preserve">About LDR Holding Corporation</w:t>
      </w:r>
    </w:p>
    <w:p>
      <w:pPr>
        <w:jc w:val="left"/>
        <w:spacing w:line="288.0" w:lineRule="auto" w:after="120.0"/>
        <w:rPr>
          <w:rFonts w:ascii="Times New Roman" w:hAnsi="Times New Roman" w:eastAsia="Times New Roman" w:cs="Times New Roman"/>
          <w:sz w:val="24"/>
        </w:rPr>
      </w:pPr>
      <w:r>
        <w:rPr>
          <w:rFonts w:ascii="Times New Roman" w:hAnsi="Times New Roman" w:eastAsia="Times New Roman" w:cs="Times New Roman"/>
          <w:sz w:val="24"/>
        </w:rPr>
        <w:t xml:space="preserve">LDR Holding Corporation is a global medical device company focused on designing and commercializing novel and proprietary surgical technologies for the treatment of patients suffering from spine disorders. LDR's primary products are based on its exclusive VerteBRIDGE fusion and Mobi non-fusion technology platforms and are designed for applications in the cervical and lumbar spine. These technologies enable products that are less invasive, provide greater intra-operative flexibility, offer simplified surgical techniques and promote improved clinical outcomes for patients as compared to existing alternatives. LDR recently received approval from the U.S. Food and Drug Administration (FDA) for the Mobi-C cervical disc replacement device, the first and only cervical disc replacement device to receive FDA approval to treat both one-level and two-level cervical disc disease. For more information regarding LDR Holding, visit </w:t>
      </w:r>
      <w:r>
        <w:rPr>
          <w:rFonts w:ascii="Times New Roman" w:hAnsi="Times New Roman" w:eastAsia="Times New Roman" w:cs="Times New Roman"/>
          <w:sz w:val="24"/>
          <w:color w:val="0000ff"/>
          <w:u w:val="single" w:color="0000ff"/>
        </w:rPr>
        <w:t xml:space="preserve">www.ldr.com</w:t>
      </w:r>
      <w:r>
        <w:rPr>
          <w:rFonts w:ascii="Times New Roman" w:hAnsi="Times New Roman" w:eastAsia="Times New Roman" w:cs="Times New Roman"/>
          <w:sz w:val="24"/>
        </w:rPr>
        <w:t xml:space="preserve">.</w:t>
      </w:r>
    </w:p>
    <w:p>
      <w:pPr>
        <w:jc w:val="left"/>
        <w:spacing w:line="288.0" w:lineRule="auto" w:after="120.0"/>
        <w:rPr>
          <w:rFonts w:ascii="Times New Roman" w:hAnsi="Times New Roman" w:eastAsia="Times New Roman" w:cs="Times New Roman"/>
          <w:sz w:val="24"/>
          <w:b w:val="true"/>
        </w:rPr>
      </w:pPr>
      <w:r>
        <w:rPr>
          <w:rFonts w:ascii="Times New Roman" w:hAnsi="Times New Roman" w:eastAsia="Times New Roman" w:cs="Times New Roman"/>
          <w:sz w:val="24"/>
          <w:b w:val="true"/>
        </w:rPr>
        <w:t xml:space="preserve">Use of Non-GAAP Financial Measures</w:t>
      </w:r>
    </w:p>
    <w:p>
      <w:pPr>
        <w:jc w:val="left"/>
        <w:spacing w:line="288.0" w:lineRule="auto" w:after="120.0"/>
        <w:rPr>
          <w:rFonts w:ascii="Times New Roman" w:hAnsi="Times New Roman" w:eastAsia="Times New Roman" w:cs="Times New Roman"/>
          <w:sz w:val="24"/>
        </w:rPr>
      </w:pPr>
      <w:r>
        <w:rPr>
          <w:rFonts w:ascii="Times New Roman" w:hAnsi="Times New Roman" w:eastAsia="Times New Roman" w:cs="Times New Roman"/>
          <w:sz w:val="24"/>
        </w:rPr>
        <w:t xml:space="preserve">To supplement LDR's consolidated financial statements prepared in accordance with U.S. generally accepted accounting principles (GAAP), LDR uses certain non-GAAP financial measures in this release, including Adjusted EBITDA. Management defines Adjusted EBITDA as operating income (loss) plus depreciation and amortization and stock-based compensation expense. The Company presents Adjusted EBITDA because management believes it is a useful indicator of operating performance. LDR's management uses Adjusted EBITDA principally as a measure of operating performance and believes that Adjusted EBITDA is useful to investors because it is frequently used by securities analysts, investors and other interested parties in their evaluation of the operating performance of companies in industries similar to LDR. Management also uses Adjusted EBITDA for planning purposes, including the preparation of the annual operating budget and financial projections.</w:t>
      </w:r>
    </w:p>
    <w:p>
      <w:pPr>
        <w:jc w:val="left"/>
        <w:spacing w:line="288.0" w:lineRule="auto" w:after="120.0"/>
        <w:rPr>
          <w:rFonts w:ascii="Times New Roman" w:hAnsi="Times New Roman" w:eastAsia="Times New Roman" w:cs="Times New Roman"/>
          <w:sz w:val="24"/>
        </w:rPr>
      </w:pPr>
      <w:r>
        <w:rPr>
          <w:rFonts w:ascii="Times New Roman" w:hAnsi="Times New Roman" w:eastAsia="Times New Roman" w:cs="Times New Roman"/>
          <w:sz w:val="24"/>
        </w:rPr>
        <w:t xml:space="preserve">A reconciliation of the non-GAAP financial measures used in this release to the most comparable U.S. GAAP measures for the respective periods can be found in a table later in this release immediately following the condensed consolidated statements of cash flows. Adjusted EBITDA should not be considered in isolation or as a substitute for a measure of the Company's liquidity or operating performance prepared in accordance with GAAP and is not indicative of operating income (loss) from operations as determined under GAAP. Adjusted EBITDA and other non-GAAP financial measures have limitations that should be considered before using these measures to evaluate the Company's liquidity or financial performance. Adjusted EBITDA does not include certain expenses that may be necessary to review LDR's operating results and liquidity requirements. Management's definition and calculation of Adjusted EBITDA may differ from that of other companies.</w:t>
      </w:r>
    </w:p>
    <w:p>
      <w:pPr>
        <w:jc w:val="both"/>
        <w:spacing w:line="288.0" w:lineRule="auto" w:after="120.0"/>
        <w:rPr>
          <w:rFonts w:ascii="Times New Roman" w:hAnsi="Times New Roman" w:eastAsia="Times New Roman" w:cs="Times New Roman"/>
          <w:sz w:val="24"/>
          <w:b w:val="true"/>
        </w:rPr>
      </w:pPr>
      <w:r>
        <w:rPr>
          <w:rFonts w:ascii="Times New Roman" w:hAnsi="Times New Roman" w:eastAsia="Times New Roman" w:cs="Times New Roman"/>
          <w:sz w:val="24"/>
          <w:b w:val="true"/>
        </w:rPr>
        <w:t xml:space="preserve">Contacts:</w:t>
      </w:r>
      <w:r>
        <w:rPr>
          <w:rFonts w:ascii="Times New Roman" w:hAnsi="Times New Roman" w:eastAsia="Times New Roman" w:cs="Times New Roman"/>
          <w:sz w:val="20"/>
        </w:rPr>
        <w:t xml:space="preserve">	</w:t>
      </w:r>
    </w:p>
    <w:p>
      <w:pPr>
        <w:jc w:val="both"/>
        <w:spacing w:line="288.0" w:lineRule="auto"/>
        <w:rPr>
          <w:rFonts w:ascii="Times New Roman" w:hAnsi="Times New Roman" w:eastAsia="Times New Roman" w:cs="Times New Roman"/>
          <w:sz w:val="24"/>
        </w:rPr>
      </w:pPr>
      <w:r>
        <w:rPr>
          <w:rFonts w:ascii="Times New Roman" w:hAnsi="Times New Roman" w:eastAsia="Times New Roman" w:cs="Times New Roman"/>
          <w:sz w:val="24"/>
        </w:rPr>
        <w:t xml:space="preserve">Robert McNamara</w:t>
      </w:r>
    </w:p>
    <w:p>
      <w:pPr>
        <w:jc w:val="both"/>
        <w:spacing w:line="288.0" w:lineRule="auto"/>
        <w:rPr>
          <w:rFonts w:ascii="Times New Roman" w:hAnsi="Times New Roman" w:eastAsia="Times New Roman" w:cs="Times New Roman"/>
          <w:sz w:val="24"/>
        </w:rPr>
      </w:pPr>
      <w:r>
        <w:rPr>
          <w:rFonts w:ascii="Times New Roman" w:hAnsi="Times New Roman" w:eastAsia="Times New Roman" w:cs="Times New Roman"/>
          <w:sz w:val="24"/>
        </w:rPr>
        <w:t xml:space="preserve">Executive Vice President and Chief Financial Officer</w:t>
      </w:r>
    </w:p>
    <w:p>
      <w:pPr>
        <w:jc w:val="both"/>
        <w:spacing w:line="288.0" w:lineRule="auto"/>
        <w:rPr>
          <w:rFonts w:ascii="Times New Roman" w:hAnsi="Times New Roman" w:eastAsia="Times New Roman" w:cs="Times New Roman"/>
          <w:sz w:val="24"/>
        </w:rPr>
      </w:pPr>
      <w:r>
        <w:rPr>
          <w:rFonts w:ascii="Times New Roman" w:hAnsi="Times New Roman" w:eastAsia="Times New Roman" w:cs="Times New Roman"/>
          <w:sz w:val="24"/>
        </w:rPr>
        <w:t xml:space="preserve">LDR Holding Corporation</w:t>
      </w:r>
    </w:p>
    <w:p>
      <w:pPr>
        <w:jc w:val="both"/>
        <w:spacing w:line="288.0" w:lineRule="auto"/>
        <w:rPr>
          <w:rFonts w:ascii="Times New Roman" w:hAnsi="Times New Roman" w:eastAsia="Times New Roman" w:cs="Times New Roman"/>
          <w:sz w:val="24"/>
        </w:rPr>
      </w:pPr>
      <w:r>
        <w:rPr>
          <w:rFonts w:ascii="Times New Roman" w:hAnsi="Times New Roman" w:eastAsia="Times New Roman" w:cs="Times New Roman"/>
          <w:sz w:val="24"/>
        </w:rPr>
        <w:t xml:space="preserve">(512) 344-3333</w:t>
      </w:r>
    </w:p>
    <w:p>
      <w:pPr>
        <w:jc w:val="both"/>
        <w:spacing w:line="288.0"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0" w:lineRule="auto"/>
        <w:rPr>
          <w:rFonts w:ascii="Times New Roman" w:hAnsi="Times New Roman" w:eastAsia="Times New Roman" w:cs="Times New Roman"/>
          <w:sz w:val="24"/>
        </w:rPr>
      </w:pPr>
      <w:r>
        <w:rPr>
          <w:rFonts w:ascii="Times New Roman" w:hAnsi="Times New Roman" w:eastAsia="Times New Roman" w:cs="Times New Roman"/>
          <w:sz w:val="24"/>
        </w:rPr>
        <w:t xml:space="preserve">Bob Yedid</w:t>
      </w:r>
    </w:p>
    <w:p>
      <w:pPr>
        <w:jc w:val="left"/>
        <w:spacing w:line="288.0" w:lineRule="auto"/>
        <w:rPr>
          <w:rFonts w:ascii="Times New Roman" w:hAnsi="Times New Roman" w:eastAsia="Times New Roman" w:cs="Times New Roman"/>
          <w:sz w:val="24"/>
        </w:rPr>
      </w:pPr>
      <w:r>
        <w:rPr>
          <w:rFonts w:ascii="Times New Roman" w:hAnsi="Times New Roman" w:eastAsia="Times New Roman" w:cs="Times New Roman"/>
          <w:sz w:val="24"/>
        </w:rPr>
        <w:t xml:space="preserve">Managing Director</w:t>
      </w:r>
    </w:p>
    <w:p>
      <w:pPr>
        <w:jc w:val="both"/>
        <w:spacing w:line="288.0" w:lineRule="auto"/>
        <w:rPr>
          <w:rFonts w:ascii="Times New Roman" w:hAnsi="Times New Roman" w:eastAsia="Times New Roman" w:cs="Times New Roman"/>
          <w:sz w:val="24"/>
        </w:rPr>
      </w:pPr>
      <w:r>
        <w:rPr>
          <w:rFonts w:ascii="Times New Roman" w:hAnsi="Times New Roman" w:eastAsia="Times New Roman" w:cs="Times New Roman"/>
          <w:sz w:val="24"/>
        </w:rPr>
        <w:t xml:space="preserve">ICR, Inc.</w:t>
      </w:r>
    </w:p>
    <w:p>
      <w:pPr>
        <w:jc w:val="both"/>
        <w:spacing w:line="288.0" w:lineRule="auto"/>
        <w:rPr>
          <w:rFonts w:ascii="Times New Roman" w:hAnsi="Times New Roman" w:eastAsia="Times New Roman" w:cs="Times New Roman"/>
          <w:sz w:val="24"/>
        </w:rPr>
      </w:pPr>
      <w:r>
        <w:rPr>
          <w:rFonts w:ascii="Times New Roman" w:hAnsi="Times New Roman" w:eastAsia="Times New Roman" w:cs="Times New Roman"/>
          <w:sz w:val="24"/>
        </w:rPr>
        <w:t xml:space="preserve">(646) 277-1250</w:t>
      </w:r>
    </w:p>
    <w:p>
      <w:pPr>
        <w:jc w:val="both"/>
        <w:spacing w:line="288.0" w:lineRule="auto"/>
        <w:rPr>
          <w:rFonts w:ascii="Times New Roman" w:hAnsi="Times New Roman" w:eastAsia="Times New Roman" w:cs="Times New Roman"/>
          <w:sz w:val="24"/>
        </w:rPr>
      </w:pPr>
      <w:r>
        <w:rPr>
          <w:rFonts w:ascii="Times New Roman" w:hAnsi="Times New Roman" w:eastAsia="Times New Roman" w:cs="Times New Roman"/>
          <w:sz w:val="24"/>
        </w:rPr>
        <w:t xml:space="preserve">bob.yedid@icrinc.com</w:t>
      </w:r>
    </w:p>
    <w:p>
      <w:pPr>
        <w:sectPr>
          <w:pgNumType w:start="1" w:fmt="decimal" w:chapSep="period"/>
          <w:pgSz w:w="12240" w:h="15840"/>
          <w:pgMar w:top="860" w:left="1000" w:right="1000" w:bottom="860" w:footer="460" w:gutter="0" w:header="160"/>
          <w:headerReference r:id="rId1" w:type="default"/>
          <w:footerReference r:id="rId2" w:type="default"/>
        </w:sectPr>
      </w:pPr>
    </w:p>
    <w:p>
      <w:pPr>
        <w:jc w:val="center"/>
        <w:keepNext/>
        <w:keepLines/>
        <w:spacing w:line="288.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 LDR HOLDING CORPORATION AND SUBSIDIARIES</w:t>
      </w:r>
      <w:bookmarkStart w:id="39250" w:name="Section11FFD8C50EE868B88E6C99380F19F0E9"/>
      <w:bookmarkEnd w:id="39250"/>
    </w:p>
    <w:p>
      <w:pPr>
        <w:jc w:val="center"/>
        <w:keepNext/>
        <w:keepLines/>
        <w:spacing w:line="288.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CONDENSED CONSOLIDATED BALANCE SHEETS</w:t>
      </w:r>
    </w:p>
    <w:p>
      <w:pPr>
        <w:jc w:val="center"/>
        <w:keepNext/>
        <w:keepLines/>
        <w:spacing w:line="288.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(in thousands, except share amounts)</w:t>
      </w:r>
    </w:p>
    <w:p>
      <w:pPr>
        <w:jc w:val="left"/>
        <w:spacing w:line="200" w:lineRule="exact"/>
        <w:rPr/>
        <w:keepNext/>
      </w:pPr>
      <w:r>
        <w:rPr/>
      </w:r>
    </w:p>
    <w:tbl>
      <w:tblPr>
        <w:tblW w:w="10240" w:type="dxa"/>
        <w:tblLayout w:type="fixed"/>
        <w:jc w:val="center"/>
      </w:tblPr>
      <w:tblGrid>
        <w:gridCol w:w="7280"/>
        <w:gridCol w:w="80"/>
        <w:gridCol w:w="110"/>
        <w:gridCol w:w="1210"/>
        <w:gridCol w:w="80"/>
        <w:gridCol w:w="80"/>
        <w:gridCol w:w="110"/>
        <w:gridCol w:w="1210"/>
        <w:gridCol w:w="80"/>
      </w:tblGrid>
      <w:tr>
        <w:trPr>
          <w:trHeight w:val="420" w:hRule="exact"/>
        </w:trPr>
        <w:tc>
          <w:tcPr>
            <w:tcW w:w="7280" w:type="dxa"/>
            <w:tcMar>
              <w:right w:type="dxa" w:w="60"/>
              <w:left w:type="dxa" w:w="60"/>
            </w:tcMar>
            <w:vAlign w:val="bottom"/>
          </w:tcPr>
          <w:p>
            <w:pPr>
              <w:jc w:val="left"/>
              <w:keepNext/>
              <w:keepLines/>
              <w:spacing w:line="240.0" w:lineRule="auto"/>
              <w:rPr/>
            </w:pPr>
            <w:r>
              <w:rPr/>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40"/>
              <w:left w:type="dxa" w:w="0"/>
            </w:tcMar>
            <w:tcBorders>
              <w:bottom w:spacing="0" w:val="single" w:sz="8.0"/>
            </w:tcBorders>
            <w:vAlign w:val="bottom"/>
            <w:hMerge w:val="restart"/>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March 31, 2014</w:t>
            </w:r>
          </w:p>
        </w:tc>
        <w:tc w:gutter="main">
          <w:tcPr>
            <w:tcW w:w="1210" w:type="dxa"/>
            <w:tcMar>
              <w:top w:type="dxa" w:w="0"/>
              <w:bottom w:type="dxa" w:w="40"/>
              <w:right w:type="dxa" w:w="40"/>
              <w:left w:type="dxa" w:w="0"/>
            </w:tcMar>
            <w:tcBorders>
              <w:bottom w:spacing="0" w:val="single" w:sz="8.0"/>
            </w:tcBorders>
            <w:hMerge w:val="continue"/>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March 31, 2014</w:t>
            </w:r>
          </w:p>
        </w:tc>
        <w:tc w:gutter="right">
          <w:tcPr>
            <w:tcW w:w="80" w:type="dxa"/>
            <w:tcMar>
              <w:top w:type="dxa" w:w="0"/>
              <w:bottom w:type="dxa" w:w="40"/>
              <w:right w:type="dxa" w:w="0"/>
              <w:left w:type="dxa" w:w="0"/>
            </w:tcMar>
            <w:tcBorders>
              <w:bottom w:spacing="0" w:val="single" w:sz="8.0"/>
            </w:tcBorders>
            <w:hMerge w:val="continue"/>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40"/>
              <w:left w:type="dxa" w:w="0"/>
            </w:tcMar>
            <w:tcBorders>
              <w:bottom w:spacing="0" w:val="single" w:sz="8.0"/>
            </w:tcBorders>
            <w:vAlign w:val="bottom"/>
            <w:hMerge w:val="restart"/>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December 31, 2013</w:t>
            </w:r>
          </w:p>
        </w:tc>
        <w:tc w:gutter="main">
          <w:tcPr>
            <w:tcW w:w="1210" w:type="dxa"/>
            <w:tcMar>
              <w:top w:type="dxa" w:w="0"/>
              <w:bottom w:type="dxa" w:w="40"/>
              <w:right w:type="dxa" w:w="40"/>
              <w:left w:type="dxa" w:w="0"/>
            </w:tcMar>
            <w:tcBorders>
              <w:bottom w:spacing="0" w:val="single" w:sz="8.0"/>
            </w:tcBorders>
            <w:hMerge w:val="continue"/>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December 31, 2013</w:t>
            </w:r>
          </w:p>
        </w:tc>
        <w:tc w:gutter="right">
          <w:tcPr>
            <w:tcW w:w="80" w:type="dxa"/>
            <w:tcMar>
              <w:top w:type="dxa" w:w="0"/>
              <w:bottom w:type="dxa" w:w="40"/>
              <w:right w:type="dxa" w:w="0"/>
              <w:left w:type="dxa" w:w="0"/>
            </w:tcMar>
            <w:tcBorders>
              <w:bottom w:spacing="0" w:val="single" w:sz="8.0"/>
            </w:tcBorders>
            <w:hMerge w:val="continue"/>
          </w:tcPr>
          <w:p/>
        </w:tc>
      </w:tr>
      <w:tr>
        <w:trPr>
          <w:trHeight w:val="240" w:hRule="exact"/>
        </w:trPr>
        <w:tc>
          <w:tcPr>
            <w:tcW w:w="7280" w:type="dxa"/>
            <w:tcMar>
              <w:right w:type="dxa" w:w="60"/>
              <w:left w:type="dxa" w:w="60"/>
            </w:tcMar>
            <w:vAlign w:val="bottom"/>
          </w:tcPr>
          <w:p>
            <w:pPr>
              <w:jc w:val="left"/>
              <w:keepNext/>
              <w:keepLines/>
              <w:spacing w:line="240.0" w:lineRule="auto"/>
              <w:rPr/>
            </w:pPr>
            <w:r>
              <w:rPr/>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40"/>
              <w:left w:type="dxa" w:w="0"/>
            </w:tcMar>
            <w:vAlign w:val="bottom"/>
            <w:hMerge w:val="restart"/>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Unaudited</w:t>
            </w:r>
          </w:p>
        </w:tc>
        <w:tc w:gutter="main">
          <w:tcPr>
            <w:tcW w:w="1210" w:type="dxa"/>
            <w:tcMar>
              <w:top w:type="dxa" w:w="0"/>
              <w:bottom w:type="dxa" w:w="40"/>
              <w:right w:type="dxa" w:w="40"/>
              <w:left w:type="dxa" w:w="0"/>
            </w:tcMar>
            <w:hMerge w:val="continue"/>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Unaudited</w:t>
            </w:r>
          </w:p>
        </w:tc>
        <w:tc w:gutter="right">
          <w:tcPr>
            <w:tcW w:w="80" w:type="dxa"/>
            <w:tcMar>
              <w:top w:type="dxa" w:w="0"/>
              <w:bottom w:type="dxa" w:w="40"/>
              <w:right w:type="dxa" w:w="0"/>
              <w:left w:type="dxa" w:w="0"/>
            </w:tcMar>
            <w:hMerge w:val="continue"/>
          </w:tcPr>
          <w:p/>
        </w:tc>
        <w:tc>
          <w:tcPr>
            <w:tcW w:w="80" w:type="dxa"/>
            <w:tcMar>
              <w:right w:type="dxa" w:w="0"/>
              <w:left w:type="dxa" w:w="0"/>
            </w:tcMar>
            <w:vAlign w:val="bottom"/>
          </w:tcPr>
          <w:p>
            <w:pPr>
              <w:jc w:val="left"/>
              <w:keepNext/>
              <w:keepLines/>
              <w:spacing w:line="240.0" w:lineRule="auto"/>
              <w:rPr/>
            </w:pPr>
            <w:r>
              <w:rPr/>
            </w:r>
          </w:p>
        </w:tc>
        <w:tc w:gutter="left">
          <w:tcPr>
            <w:tcW w:w="110" w:type="dxa"/>
            <w:tcMar>
              <w:right w:type="dxa" w:w="0"/>
              <w:left w:type="dxa" w:w="0"/>
            </w:tcMar>
            <w:vAlign w:val="bottom"/>
            <w:hMerge w:val="restart"/>
          </w:tcPr>
          <w:p>
            <w:pPr>
              <w:jc w:val="left"/>
              <w:keepNext/>
              <w:keepLines/>
              <w:spacing w:line="240.0" w:lineRule="auto"/>
              <w:rPr/>
            </w:pPr>
            <w:r>
              <w:rPr/>
            </w:r>
          </w:p>
        </w:tc>
        <w:tc w:gutter="main">
          <w:tcPr>
            <w:tcW w:w="1210" w:type="dxa"/>
            <w:tcMar>
              <w:right w:type="dxa" w:w="0"/>
              <w:left w:type="dxa" w:w="0"/>
            </w:tcMar>
            <w:hMerge w:val="continue"/>
          </w:tcPr>
          <w:p>
            <w:pPr>
              <w:jc w:val="left"/>
              <w:keepNext/>
              <w:keepLines/>
              <w:spacing w:line="240.0" w:lineRule="auto"/>
              <w:rPr/>
            </w:pPr>
            <w:r>
              <w:rPr/>
            </w:r>
          </w:p>
        </w:tc>
        <w:tc w:gutter="right">
          <w:tcPr>
            <w:tcW w:w="80" w:type="dxa"/>
            <w:tcMar>
              <w:right w:type="dxa" w:w="0"/>
              <w:left w:type="dxa" w:w="0"/>
            </w:tcMar>
            <w:hMerge w:val="restart"/>
          </w:tcPr>
          <w:p/>
        </w:tc>
      </w:tr>
      <w:tr>
        <w:trPr>
          <w:trHeight w:val="240" w:hRule="exact"/>
        </w:trPr>
        <w:tc>
          <w:tcPr>
            <w:tcW w:w="10240" w:type="dxa"/>
            <w:tcMar>
              <w:top w:type="dxa" w:w="0"/>
              <w:bottom w:type="dxa" w:w="40"/>
              <w:right w:type="dxa" w:w="60"/>
              <w:left w:type="dxa" w:w="60"/>
            </w:tcMar>
            <w:hMerge w:val="restart"/>
            <w:shd w:fill="cceeff"/>
            <w:vAlign w:val="bottom"/>
          </w:tcPr>
          <w:p>
            <w:pPr>
              <w:jc w:val="left"/>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ASSETS</w:t>
            </w:r>
          </w:p>
        </w:tc>
        <w:tc>
          <w:tcPr>
            <w:tcMar>
              <w:right w:type="dxa" w:w="0"/>
              <w:left w:type="dxa" w:w="0"/>
            </w:tcMar>
            <w:hMerge w:val="continue"/>
            <w:shd w:fill="cceeff"/>
            <w:vAlign w:val="bottom"/>
          </w:tcPr>
          <w:p>
            <w:pPr>
              <w:jc w:val="left"/>
              <w:keepNext/>
              <w:keepLines/>
              <w:spacing w:line="240.0" w:lineRule="auto"/>
              <w:rPr/>
            </w:pPr>
            <w:r>
              <w:rPr/>
            </w:r>
          </w:p>
        </w:tc>
        <w:tc w:gutter="left">
          <w:tcPr>
            <w:tcW w:w="110" w:type="dxa"/>
            <w:tcMar>
              <w:right w:type="dxa" w:w="0"/>
              <w:left w:type="dxa" w:w="0"/>
            </w:tcMar>
            <w:hMerge w:val="continue"/>
            <w:shd w:fill="cceeff"/>
            <w:vAlign w:val="bottom"/>
          </w:tcPr>
          <w:p>
            <w:pPr>
              <w:jc w:val="left"/>
              <w:keepNext/>
              <w:keepLines/>
              <w:spacing w:line="240.0" w:lineRule="auto"/>
              <w:rPr/>
            </w:pPr>
            <w:r>
              <w:rPr/>
            </w:r>
          </w:p>
        </w:tc>
        <w:tc w:gutter="main">
          <w:tcPr>
            <w:tcMar>
              <w:right w:type="dxa" w:w="0"/>
              <w:left w:type="dxa" w:w="0"/>
            </w:tcMar>
            <w:hMerge w:val="continue"/>
            <w:shd w:fill="cceeff"/>
          </w:tcPr>
          <w:p>
            <w:pPr>
              <w:jc w:val="left"/>
              <w:keepNext/>
              <w:keepLines/>
              <w:spacing w:line="240.0" w:lineRule="auto"/>
              <w:rPr/>
            </w:pPr>
            <w:r>
              <w:rPr/>
            </w:r>
          </w:p>
        </w:tc>
        <w:tc w:gutter="right">
          <w:tcPr>
            <w:tcW w:w="80" w:type="dxa"/>
            <w:tcMar>
              <w:top w:type="dxa" w:w="0"/>
              <w:bottom w:type="dxa" w:w="40"/>
              <w:right w:type="dxa" w:w="0"/>
              <w:left w:type="dxa" w:w="0"/>
            </w:tcMar>
            <w:hMerge w:val="continue"/>
            <w:shd w:fill="cceeff"/>
          </w:tcPr>
          <w:p/>
        </w:tc>
        <w:tc>
          <w:tcPr>
            <w:tcMar>
              <w:right w:type="dxa" w:w="0"/>
              <w:left w:type="dxa" w:w="0"/>
            </w:tcMar>
            <w:hMerge w:val="continue"/>
            <w:shd w:fill="cceeff"/>
            <w:vAlign w:val="bottom"/>
          </w:tcPr>
          <w:p>
            <w:pPr>
              <w:jc w:val="left"/>
              <w:keepNext/>
              <w:keepLines/>
              <w:spacing w:line="240.0" w:lineRule="auto"/>
              <w:rPr/>
            </w:pPr>
            <w:r>
              <w:rPr/>
            </w:r>
          </w:p>
        </w:tc>
        <w:tc w:gutter="left">
          <w:tcPr>
            <w:tcW w:w="110" w:type="dxa"/>
            <w:tcMar>
              <w:right w:type="dxa" w:w="0"/>
              <w:left w:type="dxa" w:w="0"/>
            </w:tcMar>
            <w:hMerge w:val="continue"/>
            <w:shd w:fill="cceeff"/>
            <w:vAlign w:val="bottom"/>
          </w:tcPr>
          <w:p>
            <w:pPr>
              <w:jc w:val="left"/>
              <w:keepNext/>
              <w:keepLines/>
              <w:spacing w:line="240.0" w:lineRule="auto"/>
              <w:rPr/>
            </w:pPr>
            <w:r>
              <w:rPr/>
            </w:r>
          </w:p>
        </w:tc>
        <w:tc w:gutter="main">
          <w:tcPr>
            <w:tcMar>
              <w:right w:type="dxa" w:w="0"/>
              <w:left w:type="dxa" w:w="0"/>
            </w:tcMar>
            <w:hMerge w:val="continue"/>
            <w:shd w:fill="cceeff"/>
          </w:tcPr>
          <w:p>
            <w:pPr>
              <w:jc w:val="left"/>
              <w:keepNext/>
              <w:keepLines/>
              <w:spacing w:line="240.0" w:lineRule="auto"/>
              <w:rPr/>
            </w:pPr>
            <w:r>
              <w:rPr/>
            </w:r>
          </w:p>
        </w:tc>
        <w:tc w:gutter="right">
          <w:tcPr>
            <w:tcW w:w="80" w:type="dxa"/>
            <w:tcMar>
              <w:top w:type="dxa" w:w="0"/>
              <w:bottom w:type="dxa" w:w="40"/>
              <w:right w:type="dxa" w:w="0"/>
              <w:left w:type="dxa" w:w="0"/>
            </w:tcMar>
            <w:hMerge w:val="continue"/>
            <w:shd w:fill="cceeff"/>
          </w:tcPr>
          <w:p/>
        </w:tc>
      </w:tr>
      <w:tr>
        <w:trPr>
          <w:trHeight w:val="240" w:hRule="exact"/>
        </w:trPr>
        <w:tc>
          <w:tcPr>
            <w:tcW w:w="7280" w:type="dxa"/>
            <w:tcMar>
              <w:top w:type="dxa" w:w="0"/>
              <w:bottom w:type="dxa" w:w="40"/>
              <w:right w:type="dxa" w:w="60"/>
              <w:left w:type="dxa" w:w="60"/>
            </w:tcMar>
            <w:hMerge w:val="restart"/>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Current assets:</w:t>
            </w:r>
          </w:p>
        </w:tc>
        <w:tc>
          <w:tcPr>
            <w:tcW w:w="80" w:type="dxa"/>
            <w:tcMar>
              <w:right w:type="dxa" w:w="0"/>
              <w:left w:type="dxa" w:w="0"/>
            </w:tcMar>
            <w:vAlign w:val="bottom"/>
          </w:tcPr>
          <w:p>
            <w:pPr>
              <w:jc w:val="left"/>
              <w:keepNext/>
              <w:keepLines/>
              <w:spacing w:line="240.0" w:lineRule="auto"/>
              <w:rPr/>
            </w:pPr>
            <w:r>
              <w:rPr/>
            </w:r>
          </w:p>
        </w:tc>
        <w:tc w:gutter="left">
          <w:tcPr>
            <w:tcW w:w="110" w:type="dxa"/>
            <w:tcMar>
              <w:right w:type="dxa" w:w="0"/>
              <w:left w:type="dxa" w:w="0"/>
            </w:tcMar>
            <w:vAlign w:val="bottom"/>
            <w:hMerge w:val="restart"/>
          </w:tcPr>
          <w:p>
            <w:pPr>
              <w:jc w:val="left"/>
              <w:keepNext/>
              <w:keepLines/>
              <w:spacing w:line="240.0" w:lineRule="auto"/>
              <w:rPr/>
            </w:pPr>
            <w:r>
              <w:rPr/>
            </w:r>
          </w:p>
        </w:tc>
        <w:tc w:gutter="main">
          <w:tcPr>
            <w:tcW w:w="1210" w:type="dxa"/>
            <w:tcMar>
              <w:right w:type="dxa" w:w="0"/>
              <w:left w:type="dxa" w:w="0"/>
            </w:tcMar>
            <w:hMerge w:val="continue"/>
          </w:tcPr>
          <w:p>
            <w:pPr>
              <w:jc w:val="left"/>
              <w:keepNext/>
              <w:keepLines/>
              <w:spacing w:line="240.0" w:lineRule="auto"/>
              <w:rPr/>
            </w:pPr>
            <w:r>
              <w:rPr/>
            </w:r>
          </w:p>
        </w:tc>
        <w:tc w:gutter="right">
          <w:tcPr>
            <w:tcW w:w="80" w:type="dxa"/>
            <w:tcMar>
              <w:right w:type="dxa" w:w="0"/>
              <w:left w:type="dxa" w:w="0"/>
            </w:tcMar>
            <w:hMerge w:val="restart"/>
          </w:tcPr>
          <w:p/>
        </w:tc>
        <w:tc>
          <w:tcPr>
            <w:tcW w:w="80" w:type="dxa"/>
            <w:tcMar>
              <w:right w:type="dxa" w:w="0"/>
              <w:left w:type="dxa" w:w="0"/>
            </w:tcMar>
            <w:vAlign w:val="bottom"/>
          </w:tcPr>
          <w:p>
            <w:pPr>
              <w:jc w:val="left"/>
              <w:keepNext/>
              <w:keepLines/>
              <w:spacing w:line="240.0" w:lineRule="auto"/>
              <w:rPr/>
            </w:pPr>
            <w:r>
              <w:rPr/>
            </w:r>
          </w:p>
        </w:tc>
        <w:tc w:gutter="left">
          <w:tcPr>
            <w:tcW w:w="110" w:type="dxa"/>
            <w:tcMar>
              <w:right w:type="dxa" w:w="0"/>
              <w:left w:type="dxa" w:w="0"/>
            </w:tcMar>
            <w:vAlign w:val="bottom"/>
            <w:hMerge w:val="restart"/>
          </w:tcPr>
          <w:p>
            <w:pPr>
              <w:jc w:val="left"/>
              <w:keepNext/>
              <w:keepLines/>
              <w:spacing w:line="240.0" w:lineRule="auto"/>
              <w:rPr/>
            </w:pPr>
            <w:r>
              <w:rPr/>
            </w:r>
          </w:p>
        </w:tc>
        <w:tc w:gutter="main">
          <w:tcPr>
            <w:tcW w:w="1210" w:type="dxa"/>
            <w:tcMar>
              <w:right w:type="dxa" w:w="0"/>
              <w:left w:type="dxa" w:w="0"/>
            </w:tcMar>
            <w:hMerge w:val="continue"/>
          </w:tcPr>
          <w:p>
            <w:pPr>
              <w:jc w:val="left"/>
              <w:keepNext/>
              <w:keepLines/>
              <w:spacing w:line="240.0" w:lineRule="auto"/>
              <w:rPr/>
            </w:pPr>
            <w:r>
              <w:rPr/>
            </w:r>
          </w:p>
        </w:tc>
        <w:tc w:gutter="right">
          <w:tcPr>
            <w:tcW w:w="80" w:type="dxa"/>
            <w:tcMar>
              <w:right w:type="dxa" w:w="0"/>
              <w:left w:type="dxa" w:w="0"/>
            </w:tcMar>
            <w:hMerge w:val="restart"/>
          </w:tcPr>
          <w:p/>
        </w:tc>
      </w:tr>
      <w:tr>
        <w:trPr>
          <w:trHeight w:val="240" w:hRule="exact"/>
        </w:trPr>
        <w:tc>
          <w:tcPr>
            <w:tcW w:w="7280" w:type="dxa"/>
            <w:tcMar>
              <w:top w:type="dxa" w:w="0"/>
              <w:bottom w:type="dxa" w:w="40"/>
              <w:right w:type="dxa" w:w="60"/>
              <w:left w:type="dxa" w:w="42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Cash and cash equivalents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49,840</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56,678</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42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Accounts receivable, net</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22,325</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22,325</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22,193</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22,193</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42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Inventory, net</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20,781</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20,781</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17,690</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17,690</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42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Other current assets</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6,234</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6,234</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4,780</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4,780</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42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Prepaid expenses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1,454</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1,454</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1,593</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1,593</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42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Deferred tax asset, current</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515</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515</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78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Total current assets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101,149</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101,149</w:t>
            </w:r>
          </w:p>
        </w:tc>
        <w:tc w:gutter="right">
          <w:tcPr>
            <w:tcW w:w="80" w:type="dxa"/>
            <w:tcMar>
              <w:top w:type="dxa" w:w="0"/>
              <w:bottom w:type="dxa" w:w="40"/>
              <w:right w:type="dxa" w:w="20"/>
              <w:left w:type="dxa" w:w="0"/>
            </w:tcMar>
            <w:tcBorders>
              <w:top w:spacing="0" w:val="single" w:sz="8.0" w:space="0"/>
            </w:tcBorders>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102,934</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102,934</w:t>
            </w:r>
          </w:p>
        </w:tc>
        <w:tc w:gutter="right">
          <w:tcPr>
            <w:tcW w:w="80" w:type="dxa"/>
            <w:tcMar>
              <w:top w:type="dxa" w:w="0"/>
              <w:bottom w:type="dxa" w:w="40"/>
              <w:right w:type="dxa" w:w="20"/>
              <w:left w:type="dxa" w:w="0"/>
            </w:tcMar>
            <w:tcBorders>
              <w:top w:spacing="0" w:val="single" w:sz="8.0" w:space="0"/>
            </w:tcBorders>
            <w:shd w:fill="cceeff"/>
          </w:tcPr>
          <w:p/>
        </w:tc>
      </w:tr>
      <w:tr>
        <w:trPr>
          <w:trHeight w:val="240" w:hRule="exact"/>
        </w:trPr>
        <w:tc>
          <w:tcPr>
            <w:tcW w:w="7280" w:type="dxa"/>
            <w:tcMar>
              <w:top w:type="dxa" w:w="0"/>
              <w:bottom w:type="dxa" w:w="40"/>
              <w:right w:type="dxa" w:w="60"/>
              <w:left w:type="dxa" w:w="6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Property and equipment, net</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13,071</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13,071</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12,695</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12,695</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6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Goodwill</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6,621</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6,621</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6,621</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6,621</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6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Intangible assets, net</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3,143</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3,143</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3,073</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3,073</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6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Restricted cash</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2,000</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2,000</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2,000</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2,000</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6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Deferred tax assets</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513</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513</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6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Other assets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152</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152</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157</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157</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78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Total assets</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0"/>
              <w:left w:type="dxa" w:w="0"/>
            </w:tcMar>
            <w:tcBorders>
              <w:top w:spacing="0" w:val="single" w:sz="8.0" w:space="0"/>
              <w:bottom w:spacing="0" w:val="double" w:sz="4.0"/>
            </w:tcBorders>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tcBorders>
              <w:top w:spacing="0" w:val="single" w:sz="8.0" w:space="0"/>
              <w:bottom w:spacing="0" w:val="double" w:sz="4.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126,136</w:t>
            </w:r>
          </w:p>
        </w:tc>
        <w:tc w:gutter="right">
          <w:tcPr>
            <w:tcW w:w="80" w:type="dxa"/>
            <w:tcMar>
              <w:top w:type="dxa" w:w="0"/>
              <w:bottom w:type="dxa" w:w="40"/>
              <w:right w:type="dxa" w:w="20"/>
              <w:left w:type="dxa" w:w="0"/>
            </w:tcMar>
            <w:tcBorders>
              <w:top w:spacing="0" w:val="single" w:sz="8.0" w:space="0"/>
              <w:bottom w:spacing="0" w:val="double" w:sz="4.0"/>
            </w:tcBorders>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0"/>
              <w:left w:type="dxa" w:w="0"/>
            </w:tcMar>
            <w:tcBorders>
              <w:top w:spacing="0" w:val="single" w:sz="8.0" w:space="0"/>
              <w:bottom w:spacing="0" w:val="double" w:sz="4.0"/>
            </w:tcBorders>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tcBorders>
              <w:top w:spacing="0" w:val="single" w:sz="8.0" w:space="0"/>
              <w:bottom w:spacing="0" w:val="double" w:sz="4.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127,993</w:t>
            </w:r>
          </w:p>
        </w:tc>
        <w:tc w:gutter="right">
          <w:tcPr>
            <w:tcW w:w="80" w:type="dxa"/>
            <w:tcMar>
              <w:top w:type="dxa" w:w="0"/>
              <w:bottom w:type="dxa" w:w="40"/>
              <w:right w:type="dxa" w:w="20"/>
              <w:left w:type="dxa" w:w="0"/>
            </w:tcMar>
            <w:tcBorders>
              <w:top w:spacing="0" w:val="single" w:sz="8.0" w:space="0"/>
              <w:bottom w:spacing="0" w:val="double" w:sz="4.0"/>
            </w:tcBorders>
          </w:tcPr>
          <w:p/>
        </w:tc>
      </w:tr>
      <w:tr>
        <w:trPr>
          <w:trHeight w:val="240" w:hRule="exact"/>
        </w:trPr>
        <w:tc>
          <w:tcPr>
            <w:tcW w:w="10240" w:type="dxa"/>
            <w:tcMar>
              <w:top w:type="dxa" w:w="0"/>
              <w:bottom w:type="dxa" w:w="40"/>
              <w:right w:type="dxa" w:w="60"/>
              <w:left w:type="dxa" w:w="60"/>
            </w:tcMar>
            <w:hMerge w:val="restart"/>
            <w:shd w:fill="cceeff"/>
            <w:vAlign w:val="bottom"/>
          </w:tcPr>
          <w:p>
            <w:pPr>
              <w:jc w:val="left"/>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LIABILITIES AND STOCKHOLDERS' EQUITY</w:t>
            </w:r>
          </w:p>
        </w:tc>
        <w:tc>
          <w:tcPr>
            <w:tcMar>
              <w:right w:type="dxa" w:w="0"/>
              <w:left w:type="dxa" w:w="0"/>
            </w:tcMar>
            <w:hMerge w:val="continue"/>
            <w:shd w:fill="cceeff"/>
            <w:vAlign w:val="bottom"/>
          </w:tcPr>
          <w:p>
            <w:pPr>
              <w:jc w:val="left"/>
              <w:keepNext/>
              <w:keepLines/>
              <w:spacing w:line="240.0" w:lineRule="auto"/>
              <w:rPr/>
            </w:pPr>
            <w:r>
              <w:rPr/>
            </w:r>
          </w:p>
        </w:tc>
        <w:tc w:gutter="left">
          <w:tcPr>
            <w:tcW w:w="110" w:type="dxa"/>
            <w:tcMar>
              <w:right w:type="dxa" w:w="0"/>
              <w:left w:type="dxa" w:w="0"/>
            </w:tcMar>
            <w:hMerge w:val="continue"/>
            <w:shd w:fill="cceeff"/>
            <w:vAlign w:val="bottom"/>
          </w:tcPr>
          <w:p>
            <w:pPr>
              <w:jc w:val="left"/>
              <w:keepNext/>
              <w:keepLines/>
              <w:spacing w:line="240.0" w:lineRule="auto"/>
              <w:rPr/>
            </w:pPr>
            <w:r>
              <w:rPr/>
            </w:r>
          </w:p>
        </w:tc>
        <w:tc w:gutter="main">
          <w:tcPr>
            <w:tcMar>
              <w:right w:type="dxa" w:w="0"/>
              <w:left w:type="dxa" w:w="0"/>
            </w:tcMar>
            <w:hMerge w:val="continue"/>
            <w:shd w:fill="cceeff"/>
          </w:tcPr>
          <w:p>
            <w:pPr>
              <w:jc w:val="left"/>
              <w:keepNext/>
              <w:keepLines/>
              <w:spacing w:line="240.0" w:lineRule="auto"/>
              <w:rPr/>
            </w:pPr>
            <w:r>
              <w:rPr/>
            </w:r>
          </w:p>
        </w:tc>
        <w:tc w:gutter="right">
          <w:tcPr>
            <w:tcW w:w="80" w:type="dxa"/>
            <w:tcMar>
              <w:top w:type="dxa" w:w="0"/>
              <w:bottom w:type="dxa" w:w="40"/>
              <w:right w:type="dxa" w:w="0"/>
              <w:left w:type="dxa" w:w="0"/>
            </w:tcMar>
            <w:hMerge w:val="continue"/>
            <w:shd w:fill="cceeff"/>
          </w:tcPr>
          <w:p/>
        </w:tc>
        <w:tc>
          <w:tcPr>
            <w:tcMar>
              <w:right w:type="dxa" w:w="0"/>
              <w:left w:type="dxa" w:w="0"/>
            </w:tcMar>
            <w:hMerge w:val="continue"/>
            <w:shd w:fill="cceeff"/>
            <w:vAlign w:val="bottom"/>
          </w:tcPr>
          <w:p>
            <w:pPr>
              <w:jc w:val="left"/>
              <w:keepNext/>
              <w:keepLines/>
              <w:spacing w:line="240.0" w:lineRule="auto"/>
              <w:rPr/>
            </w:pPr>
            <w:r>
              <w:rPr/>
            </w:r>
          </w:p>
        </w:tc>
        <w:tc w:gutter="left">
          <w:tcPr>
            <w:tcW w:w="110" w:type="dxa"/>
            <w:tcMar>
              <w:right w:type="dxa" w:w="0"/>
              <w:left w:type="dxa" w:w="0"/>
            </w:tcMar>
            <w:hMerge w:val="continue"/>
            <w:shd w:fill="cceeff"/>
            <w:vAlign w:val="bottom"/>
          </w:tcPr>
          <w:p>
            <w:pPr>
              <w:jc w:val="left"/>
              <w:keepNext/>
              <w:keepLines/>
              <w:spacing w:line="240.0" w:lineRule="auto"/>
              <w:rPr/>
            </w:pPr>
            <w:r>
              <w:rPr/>
            </w:r>
          </w:p>
        </w:tc>
        <w:tc w:gutter="main">
          <w:tcPr>
            <w:tcMar>
              <w:right w:type="dxa" w:w="0"/>
              <w:left w:type="dxa" w:w="0"/>
            </w:tcMar>
            <w:hMerge w:val="continue"/>
            <w:shd w:fill="cceeff"/>
          </w:tcPr>
          <w:p>
            <w:pPr>
              <w:jc w:val="left"/>
              <w:keepNext/>
              <w:keepLines/>
              <w:spacing w:line="240.0" w:lineRule="auto"/>
              <w:rPr/>
            </w:pPr>
            <w:r>
              <w:rPr/>
            </w:r>
          </w:p>
        </w:tc>
        <w:tc w:gutter="right">
          <w:tcPr>
            <w:tcW w:w="80" w:type="dxa"/>
            <w:tcMar>
              <w:top w:type="dxa" w:w="0"/>
              <w:bottom w:type="dxa" w:w="40"/>
              <w:right w:type="dxa" w:w="0"/>
              <w:left w:type="dxa" w:w="0"/>
            </w:tcMar>
            <w:hMerge w:val="continue"/>
            <w:shd w:fill="cceeff"/>
          </w:tcPr>
          <w:p/>
        </w:tc>
      </w:tr>
      <w:tr>
        <w:trPr>
          <w:trHeight w:val="240" w:hRule="exact"/>
        </w:trPr>
        <w:tc>
          <w:tcPr>
            <w:tcW w:w="7280" w:type="dxa"/>
            <w:tcMar>
              <w:top w:type="dxa" w:w="0"/>
              <w:bottom w:type="dxa" w:w="40"/>
              <w:right w:type="dxa" w:w="60"/>
              <w:left w:type="dxa" w:w="60"/>
            </w:tcMar>
            <w:hMerge w:val="restart"/>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Current liabilities:</w:t>
            </w:r>
          </w:p>
        </w:tc>
        <w:tc>
          <w:tcPr>
            <w:tcW w:w="80" w:type="dxa"/>
            <w:tcMar>
              <w:right w:type="dxa" w:w="0"/>
              <w:left w:type="dxa" w:w="0"/>
            </w:tcMar>
            <w:vAlign w:val="bottom"/>
          </w:tcPr>
          <w:p>
            <w:pPr>
              <w:jc w:val="left"/>
              <w:keepNext/>
              <w:keepLines/>
              <w:spacing w:line="240.0" w:lineRule="auto"/>
              <w:rPr/>
            </w:pPr>
            <w:r>
              <w:rPr/>
            </w:r>
          </w:p>
        </w:tc>
        <w:tc w:gutter="left">
          <w:tcPr>
            <w:tcW w:w="110" w:type="dxa"/>
            <w:tcMar>
              <w:right w:type="dxa" w:w="0"/>
              <w:left w:type="dxa" w:w="0"/>
            </w:tcMar>
            <w:vAlign w:val="bottom"/>
            <w:hMerge w:val="restart"/>
          </w:tcPr>
          <w:p>
            <w:pPr>
              <w:jc w:val="left"/>
              <w:keepNext/>
              <w:keepLines/>
              <w:spacing w:line="240.0" w:lineRule="auto"/>
              <w:rPr/>
            </w:pPr>
            <w:r>
              <w:rPr/>
            </w:r>
          </w:p>
        </w:tc>
        <w:tc w:gutter="main">
          <w:tcPr>
            <w:tcW w:w="1210" w:type="dxa"/>
            <w:tcMar>
              <w:right w:type="dxa" w:w="0"/>
              <w:left w:type="dxa" w:w="0"/>
            </w:tcMar>
            <w:hMerge w:val="continue"/>
          </w:tcPr>
          <w:p>
            <w:pPr>
              <w:jc w:val="left"/>
              <w:keepNext/>
              <w:keepLines/>
              <w:spacing w:line="240.0" w:lineRule="auto"/>
              <w:rPr/>
            </w:pPr>
            <w:r>
              <w:rPr/>
            </w:r>
          </w:p>
        </w:tc>
        <w:tc w:gutter="right">
          <w:tcPr>
            <w:tcW w:w="80" w:type="dxa"/>
            <w:tcMar>
              <w:right w:type="dxa" w:w="0"/>
              <w:left w:type="dxa" w:w="0"/>
            </w:tcMar>
            <w:hMerge w:val="restart"/>
          </w:tcPr>
          <w:p/>
        </w:tc>
        <w:tc>
          <w:tcPr>
            <w:tcW w:w="80" w:type="dxa"/>
            <w:tcMar>
              <w:right w:type="dxa" w:w="0"/>
              <w:left w:type="dxa" w:w="0"/>
            </w:tcMar>
            <w:vAlign w:val="bottom"/>
          </w:tcPr>
          <w:p>
            <w:pPr>
              <w:jc w:val="left"/>
              <w:keepNext/>
              <w:keepLines/>
              <w:spacing w:line="240.0" w:lineRule="auto"/>
              <w:rPr/>
            </w:pPr>
            <w:r>
              <w:rPr/>
            </w:r>
          </w:p>
        </w:tc>
        <w:tc w:gutter="left">
          <w:tcPr>
            <w:tcW w:w="110" w:type="dxa"/>
            <w:tcMar>
              <w:right w:type="dxa" w:w="0"/>
              <w:left w:type="dxa" w:w="0"/>
            </w:tcMar>
            <w:vAlign w:val="bottom"/>
            <w:hMerge w:val="restart"/>
          </w:tcPr>
          <w:p>
            <w:pPr>
              <w:jc w:val="left"/>
              <w:keepNext/>
              <w:keepLines/>
              <w:spacing w:line="240.0" w:lineRule="auto"/>
              <w:rPr/>
            </w:pPr>
            <w:r>
              <w:rPr/>
            </w:r>
          </w:p>
        </w:tc>
        <w:tc w:gutter="main">
          <w:tcPr>
            <w:tcW w:w="1210" w:type="dxa"/>
            <w:tcMar>
              <w:right w:type="dxa" w:w="0"/>
              <w:left w:type="dxa" w:w="0"/>
            </w:tcMar>
            <w:hMerge w:val="continue"/>
          </w:tcPr>
          <w:p>
            <w:pPr>
              <w:jc w:val="left"/>
              <w:keepNext/>
              <w:keepLines/>
              <w:spacing w:line="240.0" w:lineRule="auto"/>
              <w:rPr/>
            </w:pPr>
            <w:r>
              <w:rPr/>
            </w:r>
          </w:p>
        </w:tc>
        <w:tc w:gutter="right">
          <w:tcPr>
            <w:tcW w:w="80" w:type="dxa"/>
            <w:tcMar>
              <w:right w:type="dxa" w:w="0"/>
              <w:left w:type="dxa" w:w="0"/>
            </w:tcMar>
            <w:hMerge w:val="restart"/>
          </w:tcPr>
          <w:p/>
        </w:tc>
      </w:tr>
      <w:tr>
        <w:trPr>
          <w:trHeight w:val="240" w:hRule="exact"/>
        </w:trPr>
        <w:tc>
          <w:tcPr>
            <w:tcW w:w="7280" w:type="dxa"/>
            <w:tcMar>
              <w:top w:type="dxa" w:w="0"/>
              <w:bottom w:type="dxa" w:w="40"/>
              <w:right w:type="dxa" w:w="60"/>
              <w:left w:type="dxa" w:w="42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Current  portion of long-term debt</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1,609</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1,763</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42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Line of credit, net of discount</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18,162</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18,162</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42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Accounts payable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9,932</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9,932</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8,128</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8,128</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42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Accrued expenses</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17,034</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17,034</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16,324</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16,324</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42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Short-term financing</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965</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965</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2,641</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2,641</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42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Deferred tax liabilities</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540</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540</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78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Total current liabilities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29,540</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29,540</w:t>
            </w:r>
          </w:p>
        </w:tc>
        <w:tc w:gutter="right">
          <w:tcPr>
            <w:tcW w:w="80" w:type="dxa"/>
            <w:tcMar>
              <w:top w:type="dxa" w:w="0"/>
              <w:bottom w:type="dxa" w:w="40"/>
              <w:right w:type="dxa" w:w="20"/>
              <w:left w:type="dxa" w:w="0"/>
            </w:tcMar>
            <w:tcBorders>
              <w:top w:spacing="0" w:val="single" w:sz="8.0" w:space="0"/>
            </w:tcBorders>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47,558</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47,558</w:t>
            </w:r>
          </w:p>
        </w:tc>
        <w:tc w:gutter="right">
          <w:tcPr>
            <w:tcW w:w="80" w:type="dxa"/>
            <w:tcMar>
              <w:top w:type="dxa" w:w="0"/>
              <w:bottom w:type="dxa" w:w="40"/>
              <w:right w:type="dxa" w:w="20"/>
              <w:left w:type="dxa" w:w="0"/>
            </w:tcMar>
            <w:tcBorders>
              <w:top w:spacing="0" w:val="single" w:sz="8.0" w:space="0"/>
            </w:tcBorders>
            <w:shd w:fill="cceeff"/>
          </w:tcPr>
          <w:p/>
        </w:tc>
      </w:tr>
      <w:tr>
        <w:trPr>
          <w:trHeight w:val="240" w:hRule="exact"/>
        </w:trPr>
        <w:tc>
          <w:tcPr>
            <w:tcW w:w="7280" w:type="dxa"/>
            <w:tcMar>
              <w:top w:type="dxa" w:w="0"/>
              <w:bottom w:type="dxa" w:w="40"/>
              <w:right w:type="dxa" w:w="60"/>
              <w:left w:type="dxa" w:w="6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Line of credit, net of discount</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18,165</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18,165</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6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Long-term debt, net of discount and current portion</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2,427</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2,427</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2,758</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2,758</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6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Deferred tax liabilities</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623</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623</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78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Total liabilities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50,755</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50,755</w:t>
            </w:r>
          </w:p>
        </w:tc>
        <w:tc w:gutter="right">
          <w:tcPr>
            <w:tcW w:w="80" w:type="dxa"/>
            <w:tcMar>
              <w:top w:type="dxa" w:w="0"/>
              <w:bottom w:type="dxa" w:w="40"/>
              <w:right w:type="dxa" w:w="20"/>
              <w:left w:type="dxa" w:w="0"/>
            </w:tcMar>
            <w:tcBorders>
              <w:top w:spacing="0" w:val="single" w:sz="8.0" w:space="0"/>
            </w:tcBorders>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50,316</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50,316</w:t>
            </w:r>
          </w:p>
        </w:tc>
        <w:tc w:gutter="right">
          <w:tcPr>
            <w:tcW w:w="80" w:type="dxa"/>
            <w:tcMar>
              <w:top w:type="dxa" w:w="0"/>
              <w:bottom w:type="dxa" w:w="40"/>
              <w:right w:type="dxa" w:w="20"/>
              <w:left w:type="dxa" w:w="0"/>
            </w:tcMar>
            <w:tcBorders>
              <w:top w:spacing="0" w:val="single" w:sz="8.0" w:space="0"/>
            </w:tcBorders>
            <w:shd w:fill="cceeff"/>
          </w:tcPr>
          <w:p/>
        </w:tc>
      </w:tr>
      <w:tr>
        <w:trPr>
          <w:trHeight w:val="240" w:hRule="exact"/>
        </w:trPr>
        <w:tc>
          <w:tcPr>
            <w:tcW w:w="7280" w:type="dxa"/>
            <w:tcMar>
              <w:top w:type="dxa" w:w="0"/>
              <w:bottom w:type="dxa" w:w="40"/>
              <w:right w:type="dxa" w:w="60"/>
              <w:left w:type="dxa" w:w="6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Commitments and contingencies</w:t>
            </w:r>
          </w:p>
        </w:tc>
        <w:tc>
          <w:tcPr>
            <w:tcW w:w="80" w:type="dxa"/>
            <w:tcMar>
              <w:right w:type="dxa" w:w="0"/>
              <w:left w:type="dxa" w:w="0"/>
            </w:tcMar>
            <w:vAlign w:val="bottom"/>
          </w:tcPr>
          <w:p>
            <w:pPr>
              <w:jc w:val="left"/>
              <w:keepNext/>
              <w:keepLines/>
              <w:spacing w:line="240.0" w:lineRule="auto"/>
              <w:rPr/>
            </w:pPr>
            <w:r>
              <w:rPr/>
            </w:r>
          </w:p>
        </w:tc>
        <w:tc w:gutter="left">
          <w:tcPr>
            <w:tcW w:w="110" w:type="dxa"/>
            <w:tcMar>
              <w:right w:type="dxa" w:w="0"/>
              <w:left w:type="dxa" w:w="0"/>
            </w:tcMar>
            <w:vAlign w:val="bottom"/>
            <w:hMerge w:val="restart"/>
          </w:tcPr>
          <w:p>
            <w:pPr>
              <w:jc w:val="left"/>
              <w:keepNext/>
              <w:keepLines/>
              <w:spacing w:line="240.0" w:lineRule="auto"/>
              <w:rPr/>
            </w:pPr>
            <w:r>
              <w:rPr/>
            </w:r>
          </w:p>
        </w:tc>
        <w:tc w:gutter="main">
          <w:tcPr>
            <w:tcW w:w="1210" w:type="dxa"/>
            <w:tcMar>
              <w:right w:type="dxa" w:w="0"/>
              <w:left w:type="dxa" w:w="0"/>
            </w:tcMar>
            <w:hMerge w:val="continue"/>
          </w:tcPr>
          <w:p>
            <w:pPr>
              <w:jc w:val="left"/>
              <w:keepNext/>
              <w:keepLines/>
              <w:spacing w:line="240.0" w:lineRule="auto"/>
              <w:rPr/>
            </w:pPr>
            <w:r>
              <w:rPr/>
            </w:r>
          </w:p>
        </w:tc>
        <w:tc w:gutter="right">
          <w:tcPr>
            <w:tcW w:w="80" w:type="dxa"/>
            <w:tcMar>
              <w:right w:type="dxa" w:w="0"/>
              <w:left w:type="dxa" w:w="0"/>
            </w:tcMar>
            <w:hMerge w:val="restart"/>
          </w:tcPr>
          <w:p/>
        </w:tc>
        <w:tc>
          <w:tcPr>
            <w:tcW w:w="80" w:type="dxa"/>
            <w:tcMar>
              <w:right w:type="dxa" w:w="0"/>
              <w:left w:type="dxa" w:w="0"/>
            </w:tcMar>
            <w:vAlign w:val="bottom"/>
          </w:tcPr>
          <w:p>
            <w:pPr>
              <w:jc w:val="left"/>
              <w:keepNext/>
              <w:keepLines/>
              <w:spacing w:line="240.0" w:lineRule="auto"/>
              <w:rPr/>
            </w:pPr>
            <w:r>
              <w:rPr/>
            </w:r>
          </w:p>
        </w:tc>
        <w:tc w:gutter="left">
          <w:tcPr>
            <w:tcW w:w="110" w:type="dxa"/>
            <w:tcMar>
              <w:right w:type="dxa" w:w="0"/>
              <w:left w:type="dxa" w:w="0"/>
            </w:tcMar>
            <w:vAlign w:val="bottom"/>
            <w:hMerge w:val="restart"/>
          </w:tcPr>
          <w:p>
            <w:pPr>
              <w:jc w:val="left"/>
              <w:keepNext/>
              <w:keepLines/>
              <w:spacing w:line="240.0" w:lineRule="auto"/>
              <w:rPr/>
            </w:pPr>
            <w:r>
              <w:rPr/>
            </w:r>
          </w:p>
        </w:tc>
        <w:tc w:gutter="main">
          <w:tcPr>
            <w:tcW w:w="1210" w:type="dxa"/>
            <w:tcMar>
              <w:right w:type="dxa" w:w="0"/>
              <w:left w:type="dxa" w:w="0"/>
            </w:tcMar>
            <w:hMerge w:val="continue"/>
          </w:tcPr>
          <w:p>
            <w:pPr>
              <w:jc w:val="left"/>
              <w:keepNext/>
              <w:keepLines/>
              <w:spacing w:line="240.0" w:lineRule="auto"/>
              <w:rPr/>
            </w:pPr>
            <w:r>
              <w:rPr/>
            </w:r>
          </w:p>
        </w:tc>
        <w:tc w:gutter="right">
          <w:tcPr>
            <w:tcW w:w="80" w:type="dxa"/>
            <w:tcMar>
              <w:right w:type="dxa" w:w="0"/>
              <w:left w:type="dxa" w:w="0"/>
            </w:tcMar>
            <w:hMerge w:val="restart"/>
          </w:tcPr>
          <w:p/>
        </w:tc>
      </w:tr>
      <w:tr>
        <w:trPr>
          <w:trHeight w:val="240" w:hRule="exact"/>
        </w:trPr>
        <w:tc>
          <w:tcPr>
            <w:tcW w:w="7280" w:type="dxa"/>
            <w:tcMar>
              <w:top w:type="dxa" w:w="0"/>
              <w:bottom w:type="dxa" w:w="40"/>
              <w:right w:type="dxa" w:w="60"/>
              <w:left w:type="dxa" w:w="6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Stockholders' equity:</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right w:type="dxa" w:w="0"/>
              <w:left w:type="dxa" w:w="0"/>
            </w:tcMar>
            <w:shd w:fill="cceeff"/>
            <w:vAlign w:val="bottom"/>
            <w:hMerge w:val="restart"/>
          </w:tcPr>
          <w:p>
            <w:pPr>
              <w:jc w:val="left"/>
              <w:keepNext/>
              <w:keepLines/>
              <w:spacing w:line="240.0" w:lineRule="auto"/>
              <w:rPr/>
            </w:pPr>
            <w:r>
              <w:rPr/>
            </w:r>
          </w:p>
        </w:tc>
        <w:tc w:gutter="main">
          <w:tcPr>
            <w:tcW w:w="1210" w:type="dxa"/>
            <w:tcMar>
              <w:right w:type="dxa" w:w="0"/>
              <w:left w:type="dxa" w:w="0"/>
            </w:tcMar>
            <w:shd w:fill="cceeff"/>
            <w:hMerge w:val="continue"/>
          </w:tcPr>
          <w:p>
            <w:pPr>
              <w:jc w:val="left"/>
              <w:keepNext/>
              <w:keepLines/>
              <w:spacing w:line="240.0" w:lineRule="auto"/>
              <w:rPr/>
            </w:pPr>
            <w:r>
              <w:rPr/>
            </w:r>
          </w:p>
        </w:tc>
        <w:tc w:gutter="right">
          <w:tcPr>
            <w:tcW w:w="80" w:type="dxa"/>
            <w:tcMar>
              <w:right w:type="dxa" w:w="0"/>
              <w:left w:type="dxa" w:w="0"/>
            </w:tcMar>
            <w:shd w:fill="cceeff"/>
            <w:hMerge w:val="restart"/>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right w:type="dxa" w:w="0"/>
              <w:left w:type="dxa" w:w="0"/>
            </w:tcMar>
            <w:shd w:fill="cceeff"/>
            <w:vAlign w:val="bottom"/>
            <w:hMerge w:val="restart"/>
          </w:tcPr>
          <w:p>
            <w:pPr>
              <w:jc w:val="left"/>
              <w:keepNext/>
              <w:keepLines/>
              <w:spacing w:line="240.0" w:lineRule="auto"/>
              <w:rPr/>
            </w:pPr>
            <w:r>
              <w:rPr/>
            </w:r>
          </w:p>
        </w:tc>
        <w:tc w:gutter="main">
          <w:tcPr>
            <w:tcW w:w="1210" w:type="dxa"/>
            <w:tcMar>
              <w:right w:type="dxa" w:w="0"/>
              <w:left w:type="dxa" w:w="0"/>
            </w:tcMar>
            <w:shd w:fill="cceeff"/>
            <w:hMerge w:val="continue"/>
          </w:tcPr>
          <w:p>
            <w:pPr>
              <w:jc w:val="left"/>
              <w:keepNext/>
              <w:keepLines/>
              <w:spacing w:line="240.0" w:lineRule="auto"/>
              <w:rPr/>
            </w:pPr>
            <w:r>
              <w:rPr/>
            </w:r>
          </w:p>
        </w:tc>
        <w:tc w:gutter="right">
          <w:tcPr>
            <w:tcW w:w="80" w:type="dxa"/>
            <w:tcMar>
              <w:right w:type="dxa" w:w="0"/>
              <w:left w:type="dxa" w:w="0"/>
            </w:tcMar>
            <w:shd w:fill="cceeff"/>
            <w:hMerge w:val="restart"/>
          </w:tcPr>
          <w:p/>
        </w:tc>
      </w:tr>
      <w:tr>
        <w:trPr>
          <w:trHeight w:val="240" w:hRule="exact"/>
        </w:trPr>
        <w:tc>
          <w:tcPr>
            <w:tcW w:w="7280" w:type="dxa"/>
            <w:tcMar>
              <w:top w:type="dxa" w:w="0"/>
              <w:bottom w:type="dxa" w:w="40"/>
              <w:right w:type="dxa" w:w="60"/>
              <w:left w:type="dxa" w:w="42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Common stock</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24</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24</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24</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24</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42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Additional paid-in capital</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162,467</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162,467</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161,216</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161,216</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42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Accumulated other comprehensive income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150</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150</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198</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198</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42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Accumulated deficit</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(87,260</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(87,260</w:t>
            </w:r>
          </w:p>
        </w:tc>
        <w:tc w:gutter="right">
          <w:tcPr>
            <w:tcW w:w="80" w:type="dxa"/>
            <w:tcMar>
              <w:top w:type="dxa" w:w="0"/>
              <w:bottom w:type="dxa" w:w="40"/>
              <w:right w:type="dxa" w:w="2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(83,761</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(83,761</w:t>
            </w:r>
          </w:p>
        </w:tc>
        <w:tc w:gutter="right">
          <w:tcPr>
            <w:tcW w:w="80" w:type="dxa"/>
            <w:tcMar>
              <w:top w:type="dxa" w:w="0"/>
              <w:bottom w:type="dxa" w:w="40"/>
              <w:right w:type="dxa" w:w="2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78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Total stockholders' equity</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75,381</w:t>
            </w:r>
          </w:p>
        </w:tc>
        <w:tc w:gutter="main">
          <w:tcPr>
            <w:tcMar>
              <w:top w:type="dxa" w:w="0"/>
              <w:bottom w:type="dxa" w:w="40"/>
              <w:right w:type="dxa" w:w="20"/>
              <w:left w:type="dxa" w:w="0"/>
            </w:tcMar>
            <w:tcBorders>
              <w:top w:spacing="0" w:val="single" w:sz="8.0" w:space="0"/>
            </w:tcBorders>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75,381</w:t>
            </w:r>
          </w:p>
        </w:tc>
        <w:tc w:gutter="right">
          <w:tcPr>
            <w:tcW w:w="80" w:type="dxa"/>
            <w:tcMar>
              <w:top w:type="dxa" w:w="0"/>
              <w:bottom w:type="dxa" w:w="40"/>
              <w:right w:type="dxa" w:w="20"/>
              <w:left w:type="dxa" w:w="0"/>
            </w:tcMar>
            <w:tcBorders>
              <w:top w:spacing="0" w:val="single" w:sz="8.0" w:space="0"/>
            </w:tcBorders>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77,677</w:t>
            </w:r>
          </w:p>
        </w:tc>
        <w:tc w:gutter="main">
          <w:tcPr>
            <w:tcMar>
              <w:top w:type="dxa" w:w="0"/>
              <w:bottom w:type="dxa" w:w="40"/>
              <w:right w:type="dxa" w:w="20"/>
              <w:left w:type="dxa" w:w="0"/>
            </w:tcMar>
            <w:tcBorders>
              <w:top w:spacing="0" w:val="single" w:sz="8.0" w:space="0"/>
            </w:tcBorders>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77,677</w:t>
            </w:r>
          </w:p>
        </w:tc>
        <w:tc w:gutter="right">
          <w:tcPr>
            <w:tcW w:w="80" w:type="dxa"/>
            <w:tcMar>
              <w:top w:type="dxa" w:w="0"/>
              <w:bottom w:type="dxa" w:w="40"/>
              <w:right w:type="dxa" w:w="20"/>
              <w:left w:type="dxa" w:w="0"/>
            </w:tcMar>
            <w:tcBorders>
              <w:top w:spacing="0" w:val="single" w:sz="8.0" w:space="0"/>
            </w:tcBorders>
          </w:tcPr>
          <w:p/>
        </w:tc>
      </w:tr>
      <w:tr>
        <w:trPr>
          <w:trHeight w:val="240" w:hRule="exact"/>
        </w:trPr>
        <w:tc>
          <w:tcPr>
            <w:tcW w:w="7280" w:type="dxa"/>
            <w:tcMar>
              <w:top w:type="dxa" w:w="0"/>
              <w:bottom w:type="dxa" w:w="40"/>
              <w:right w:type="dxa" w:w="60"/>
              <w:left w:type="dxa" w:w="780"/>
            </w:tcMar>
            <w:shd w:fill="cceeff"/>
            <w:vAlign w:val="bottom"/>
          </w:tcPr>
          <w:p>
            <w:pPr>
              <w:ind w:left="180" w:firstLine="-180"/>
              <w:jc w:val="lef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Total liabilities and stockholders' equity</w:t>
            </w:r>
          </w:p>
        </w:tc>
        <w:tc>
          <w:tcPr>
            <w:tcW w:w="80" w:type="dxa"/>
            <w:tcMar>
              <w:right w:type="dxa" w:w="0"/>
              <w:left w:type="dxa" w:w="0"/>
            </w:tcMar>
            <w:shd w:fill="cceeff"/>
            <w:vAlign w:val="bottom"/>
          </w:tcPr>
          <w:p>
            <w:pPr>
              <w:jc w:val="left"/>
              <w:keepLines/>
              <w:spacing w:line="240.0" w:lineRule="auto"/>
              <w:rPr/>
            </w:pPr>
            <w:r>
              <w:rPr/>
            </w:r>
          </w:p>
        </w:tc>
        <w:tc w:gutter="left">
          <w:tcPr>
            <w:tcW w:w="110" w:type="dxa"/>
            <w:tcMar>
              <w:top w:type="dxa" w:w="0"/>
              <w:bottom w:type="dxa" w:w="40"/>
              <w:right w:type="dxa" w:w="0"/>
              <w:left w:type="dxa" w:w="0"/>
            </w:tcMar>
            <w:tcBorders>
              <w:top w:spacing="0" w:val="single" w:sz="8.0" w:space="0"/>
              <w:bottom w:spacing="0" w:val="double" w:sz="4.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tcBorders>
              <w:top w:spacing="0" w:val="single" w:sz="8.0" w:space="0"/>
              <w:bottom w:spacing="0" w:val="double" w:sz="4.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126,136</w:t>
            </w:r>
          </w:p>
        </w:tc>
        <w:tc w:gutter="right">
          <w:tcPr>
            <w:tcW w:w="80" w:type="dxa"/>
            <w:tcMar>
              <w:top w:type="dxa" w:w="0"/>
              <w:bottom w:type="dxa" w:w="40"/>
              <w:right w:type="dxa" w:w="20"/>
              <w:left w:type="dxa" w:w="0"/>
            </w:tcMar>
            <w:tcBorders>
              <w:top w:spacing="0" w:val="single" w:sz="8.0" w:space="0"/>
              <w:bottom w:spacing="0" w:val="double" w:sz="4.0"/>
            </w:tcBorders>
            <w:shd w:fill="cceeff"/>
          </w:tcPr>
          <w:p/>
        </w:tc>
        <w:tc>
          <w:tcPr>
            <w:tcW w:w="80" w:type="dxa"/>
            <w:tcMar>
              <w:right w:type="dxa" w:w="0"/>
              <w:left w:type="dxa" w:w="0"/>
            </w:tcMar>
            <w:shd w:fill="cceeff"/>
            <w:vAlign w:val="bottom"/>
          </w:tcPr>
          <w:p>
            <w:pPr>
              <w:jc w:val="left"/>
              <w:keepLines/>
              <w:spacing w:line="240.0" w:lineRule="auto"/>
              <w:rPr/>
            </w:pPr>
            <w:r>
              <w:rPr/>
            </w:r>
          </w:p>
        </w:tc>
        <w:tc w:gutter="left">
          <w:tcPr>
            <w:tcW w:w="110" w:type="dxa"/>
            <w:tcMar>
              <w:top w:type="dxa" w:w="0"/>
              <w:bottom w:type="dxa" w:w="40"/>
              <w:right w:type="dxa" w:w="0"/>
              <w:left w:type="dxa" w:w="0"/>
            </w:tcMar>
            <w:tcBorders>
              <w:top w:spacing="0" w:val="single" w:sz="8.0" w:space="0"/>
              <w:bottom w:spacing="0" w:val="double" w:sz="4.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tcBorders>
              <w:top w:spacing="0" w:val="single" w:sz="8.0" w:space="0"/>
              <w:bottom w:spacing="0" w:val="double" w:sz="4.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127,993</w:t>
            </w:r>
          </w:p>
        </w:tc>
        <w:tc w:gutter="right">
          <w:tcPr>
            <w:tcW w:w="80" w:type="dxa"/>
            <w:tcMar>
              <w:top w:type="dxa" w:w="0"/>
              <w:bottom w:type="dxa" w:w="40"/>
              <w:right w:type="dxa" w:w="20"/>
              <w:left w:type="dxa" w:w="0"/>
            </w:tcMar>
            <w:tcBorders>
              <w:top w:spacing="0" w:val="single" w:sz="8.0" w:space="0"/>
              <w:bottom w:spacing="0" w:val="double" w:sz="4.0"/>
            </w:tcBorders>
            <w:shd w:fill="cceeff"/>
          </w:tcPr>
          <w:p/>
        </w:tc>
      </w:tr>
    </w:tbl>
    <w:p>
      <w:pPr>
        <w:sectPr>
          <w:pgNumType w:fmt="decimal" w:chapSep="period"/>
          <w:pgSz w:w="12240" w:h="15840"/>
          <w:pgMar w:top="860" w:left="1000" w:right="1000" w:bottom="860" w:footer="460" w:gutter="0" w:header="160"/>
          <w:headerReference r:id="rId1" w:type="default"/>
          <w:footerReference r:id="rId3" w:type="default"/>
        </w:sectPr>
      </w:pPr>
    </w:p>
    <w:p>
      <w:pPr>
        <w:jc w:val="center"/>
        <w:spacing w:line="288.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LDR HOLDING CORPORATION AND SUBSIDIARIES</w:t>
      </w:r>
      <w:bookmarkStart w:id="62670" w:name="Section1102A800551BBBB0CC519937F4878CBE"/>
      <w:bookmarkEnd w:id="62670"/>
    </w:p>
    <w:p>
      <w:pPr>
        <w:jc w:val="center"/>
        <w:spacing w:line="288.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CONDENSED CONSOLIDATED STATEMENTS OF COMPREHENSIVE LOSS</w:t>
      </w:r>
    </w:p>
    <w:p>
      <w:pPr>
        <w:jc w:val="center"/>
        <w:spacing w:line="288.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(in thousands, except share and per share amounts)</w:t>
      </w:r>
    </w:p>
    <w:p>
      <w:pPr>
        <w:jc w:val="center"/>
        <w:spacing w:line="288.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(Unaudited)</w:t>
      </w:r>
    </w:p>
    <w:p>
      <w:pPr>
        <w:jc w:val="left"/>
        <w:spacing w:line="200" w:lineRule="exact"/>
        <w:rPr/>
        <w:keepNext/>
      </w:pPr>
      <w:r>
        <w:rPr/>
      </w:r>
    </w:p>
    <w:tbl>
      <w:tblPr>
        <w:tblW w:w="10240" w:type="dxa"/>
        <w:tblLayout w:type="fixed"/>
        <w:jc w:val="center"/>
      </w:tblPr>
      <w:tblGrid>
        <w:gridCol w:w="7280"/>
        <w:gridCol w:w="80"/>
        <w:gridCol w:w="110"/>
        <w:gridCol w:w="1210"/>
        <w:gridCol w:w="80"/>
        <w:gridCol w:w="80"/>
        <w:gridCol w:w="110"/>
        <w:gridCol w:w="1210"/>
        <w:gridCol w:w="80"/>
      </w:tblGrid>
      <w:tr>
        <w:trPr>
          <w:trHeight w:val="240" w:hRule="exact"/>
        </w:trPr>
        <w:tc>
          <w:tcPr>
            <w:tcW w:w="7280" w:type="dxa"/>
            <w:tcMar>
              <w:right w:type="dxa" w:w="60"/>
              <w:left w:type="dxa" w:w="60"/>
            </w:tcMar>
            <w:vAlign w:val="bottom"/>
          </w:tcPr>
          <w:p>
            <w:pPr>
              <w:jc w:val="left"/>
              <w:keepNext/>
              <w:keepLines/>
              <w:spacing w:line="240.0" w:lineRule="auto"/>
              <w:rPr/>
            </w:pPr>
            <w:r>
              <w:rPr/>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40"/>
              <w:left w:type="dxa" w:w="0"/>
            </w:tcMar>
            <w:hMerge w:val="restart"/>
            <w:tcBorders>
              <w:bottom w:spacing="0" w:val="single" w:sz="8.0"/>
            </w:tcBorders>
            <w:vAlign w:val="bottom"/>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Three Months Ended March 31,</w:t>
            </w:r>
          </w:p>
        </w:tc>
        <w:tc w:gutter="main">
          <w:tcPr>
            <w:tcW w:w="2880" w:type="dxa"/>
            <w:tcMar>
              <w:top w:type="dxa" w:w="0"/>
              <w:bottom w:type="dxa" w:w="40"/>
              <w:right w:type="dxa" w:w="40"/>
              <w:left w:type="dxa" w:w="0"/>
            </w:tcMar>
            <w:hMerge w:val="continue"/>
            <w:tcBorders>
              <w:bottom w:spacing="0" w:val="single" w:sz="8.0"/>
            </w:tcBorders>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Three Months Ended March 31,</w:t>
            </w:r>
          </w:p>
        </w:tc>
        <w:tc w:gutter="right">
          <w:tcPr>
            <w:tcW w:w="80" w:type="dxa"/>
            <w:tcMar>
              <w:top w:type="dxa" w:w="0"/>
              <w:bottom w:type="dxa" w:w="40"/>
              <w:right w:type="dxa" w:w="0"/>
              <w:left w:type="dxa" w:w="0"/>
            </w:tcMar>
            <w:hMerge w:val="continue"/>
            <w:tcBorders>
              <w:bottom w:spacing="0" w:val="single" w:sz="8.0"/>
            </w:tcBorders>
          </w:tcPr>
          <w:p/>
        </w:tc>
        <w:tc>
          <w:tcPr>
            <w:tcMar>
              <w:right w:type="dxa" w:w="0"/>
              <w:left w:type="dxa" w:w="0"/>
            </w:tcMar>
            <w:hMerge w:val="continue"/>
            <w:tcBorders>
              <w:bottom w:spacing="0" w:val="single" w:sz="8.0"/>
            </w:tcBorders>
            <w:vAlign w:val="bottom"/>
          </w:tcPr>
          <w:p>
            <w:pPr>
              <w:jc w:val="left"/>
              <w:keepNext/>
              <w:keepLines/>
              <w:spacing w:line="240.0" w:lineRule="auto"/>
              <w:rPr/>
            </w:pPr>
            <w:r>
              <w:rPr/>
            </w:r>
          </w:p>
        </w:tc>
        <w:tc w:gutter="left">
          <w:tcPr>
            <w:tcW w:w="110" w:type="dxa"/>
            <w:tcMar>
              <w:right w:type="dxa" w:w="0"/>
              <w:left w:type="dxa" w:w="0"/>
            </w:tcMar>
            <w:hMerge w:val="continue"/>
            <w:tcBorders>
              <w:bottom w:spacing="0" w:val="single" w:sz="8.0"/>
            </w:tcBorders>
            <w:vAlign w:val="bottom"/>
          </w:tcPr>
          <w:p>
            <w:pPr>
              <w:jc w:val="left"/>
              <w:keepNext/>
              <w:keepLines/>
              <w:spacing w:line="240.0" w:lineRule="auto"/>
              <w:rPr/>
            </w:pPr>
            <w:r>
              <w:rPr/>
            </w:r>
          </w:p>
        </w:tc>
        <w:tc w:gutter="main">
          <w:tcPr>
            <w:tcMar>
              <w:right w:type="dxa" w:w="0"/>
              <w:left w:type="dxa" w:w="0"/>
            </w:tcMar>
            <w:hMerge w:val="continue"/>
            <w:tcBorders>
              <w:bottom w:spacing="0" w:val="single" w:sz="8.0"/>
            </w:tcBorders>
          </w:tcPr>
          <w:p>
            <w:pPr>
              <w:jc w:val="left"/>
              <w:keepNext/>
              <w:keepLines/>
              <w:spacing w:line="240.0" w:lineRule="auto"/>
              <w:rPr/>
            </w:pPr>
            <w:r>
              <w:rPr/>
            </w:r>
          </w:p>
        </w:tc>
        <w:tc w:gutter="right">
          <w:tcPr>
            <w:tcW w:w="80" w:type="dxa"/>
            <w:tcMar>
              <w:top w:type="dxa" w:w="0"/>
              <w:bottom w:type="dxa" w:w="40"/>
              <w:right w:type="dxa" w:w="0"/>
              <w:left w:type="dxa" w:w="0"/>
            </w:tcMar>
            <w:hMerge w:val="continue"/>
            <w:tcBorders>
              <w:bottom w:spacing="0" w:val="single" w:sz="8.0"/>
            </w:tcBorders>
          </w:tcPr>
          <w:p/>
        </w:tc>
      </w:tr>
      <w:tr>
        <w:trPr>
          <w:trHeight w:val="240" w:hRule="exact"/>
        </w:trPr>
        <w:tc>
          <w:tcPr>
            <w:tcW w:w="7280" w:type="dxa"/>
            <w:tcMar>
              <w:right w:type="dxa" w:w="60"/>
              <w:left w:type="dxa" w:w="60"/>
            </w:tcMar>
            <w:hMerge w:val="restart"/>
            <w:vAlign w:val="bottom"/>
          </w:tcPr>
          <w:p>
            <w:pPr>
              <w:jc w:val="left"/>
              <w:keepNext/>
              <w:keepLines/>
              <w:spacing w:line="240.0" w:lineRule="auto"/>
              <w:rPr/>
            </w:pPr>
            <w:r>
              <w:rPr/>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0"/>
              <w:left w:type="dxa" w:w="0"/>
            </w:tcMar>
            <w:tcBorders>
              <w:bottom w:spacing="0" w:val="single" w:sz="8.0"/>
            </w:tcBorders>
            <w:vAlign w:val="bottom"/>
            <w:hMerge w:val="restart"/>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2014</w:t>
            </w:r>
          </w:p>
        </w:tc>
        <w:tc w:gutter="main">
          <w:tcPr>
            <w:tcW w:w="1210" w:type="dxa"/>
            <w:tcMar>
              <w:top w:type="dxa" w:w="0"/>
              <w:bottom w:type="dxa" w:w="40"/>
              <w:right w:type="dxa" w:w="0"/>
              <w:left w:type="dxa" w:w="0"/>
            </w:tcMar>
            <w:tcBorders>
              <w:bottom w:spacing="0" w:val="single" w:sz="8.0"/>
            </w:tcBorders>
            <w:hMerge w:val="continue"/>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2014</w:t>
            </w:r>
          </w:p>
        </w:tc>
        <w:tc w:gutter="right">
          <w:tcPr>
            <w:tcW w:w="80" w:type="dxa"/>
            <w:tcMar>
              <w:top w:type="dxa" w:w="0"/>
              <w:bottom w:type="dxa" w:w="40"/>
              <w:right w:type="dxa" w:w="0"/>
              <w:left w:type="dxa" w:w="0"/>
            </w:tcMar>
            <w:tcBorders>
              <w:bottom w:spacing="0" w:val="single" w:sz="8.0"/>
            </w:tcBorders>
            <w:hMerge w:val="restart"/>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0"/>
              <w:left w:type="dxa" w:w="0"/>
            </w:tcMar>
            <w:tcBorders>
              <w:bottom w:spacing="0" w:val="single" w:sz="8.0"/>
            </w:tcBorders>
            <w:vAlign w:val="bottom"/>
            <w:hMerge w:val="restart"/>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2013</w:t>
            </w:r>
          </w:p>
        </w:tc>
        <w:tc w:gutter="main">
          <w:tcPr>
            <w:tcW w:w="1210" w:type="dxa"/>
            <w:tcMar>
              <w:top w:type="dxa" w:w="0"/>
              <w:bottom w:type="dxa" w:w="40"/>
              <w:right w:type="dxa" w:w="0"/>
              <w:left w:type="dxa" w:w="0"/>
            </w:tcMar>
            <w:tcBorders>
              <w:bottom w:spacing="0" w:val="single" w:sz="8.0"/>
            </w:tcBorders>
            <w:hMerge w:val="continue"/>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2013</w:t>
            </w:r>
          </w:p>
        </w:tc>
        <w:tc w:gutter="right">
          <w:tcPr>
            <w:tcW w:w="80" w:type="dxa"/>
            <w:tcMar>
              <w:top w:type="dxa" w:w="0"/>
              <w:bottom w:type="dxa" w:w="40"/>
              <w:right w:type="dxa" w:w="0"/>
              <w:left w:type="dxa" w:w="0"/>
            </w:tcMar>
            <w:tcBorders>
              <w:bottom w:spacing="0" w:val="single" w:sz="8.0"/>
            </w:tcBorders>
            <w:hMerge w:val="restart"/>
          </w:tcPr>
          <w:p/>
        </w:tc>
      </w:tr>
      <w:tr>
        <w:trPr>
          <w:trHeight w:val="240" w:hRule="exact"/>
        </w:trPr>
        <w:tc>
          <w:tcPr>
            <w:tcW w:w="7280" w:type="dxa"/>
            <w:tcMar>
              <w:top w:type="dxa" w:w="0"/>
              <w:bottom w:type="dxa" w:w="40"/>
              <w:right w:type="dxa" w:w="60"/>
              <w:left w:type="dxa" w:w="6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Revenue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31,068</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25,842</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6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Cost of goods sold</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5,256</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5,256</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4,299</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4,299</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78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Gross profit</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25,812</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25,812</w:t>
            </w:r>
          </w:p>
        </w:tc>
        <w:tc w:gutter="right">
          <w:tcPr>
            <w:tcW w:w="80" w:type="dxa"/>
            <w:tcMar>
              <w:top w:type="dxa" w:w="0"/>
              <w:bottom w:type="dxa" w:w="40"/>
              <w:right w:type="dxa" w:w="20"/>
              <w:left w:type="dxa" w:w="0"/>
            </w:tcMar>
            <w:tcBorders>
              <w:top w:spacing="0" w:val="single" w:sz="8.0" w:space="0"/>
            </w:tcBorders>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21,543</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21,543</w:t>
            </w:r>
          </w:p>
        </w:tc>
        <w:tc w:gutter="right">
          <w:tcPr>
            <w:tcW w:w="80" w:type="dxa"/>
            <w:tcMar>
              <w:top w:type="dxa" w:w="0"/>
              <w:bottom w:type="dxa" w:w="40"/>
              <w:right w:type="dxa" w:w="20"/>
              <w:left w:type="dxa" w:w="0"/>
            </w:tcMar>
            <w:tcBorders>
              <w:top w:spacing="0" w:val="single" w:sz="8.0" w:space="0"/>
            </w:tcBorders>
            <w:shd w:fill="cceeff"/>
          </w:tcPr>
          <w:p/>
        </w:tc>
      </w:tr>
      <w:tr>
        <w:trPr>
          <w:trHeight w:val="240" w:hRule="exact"/>
        </w:trPr>
        <w:tc>
          <w:tcPr>
            <w:tcW w:w="7280" w:type="dxa"/>
            <w:tcMar>
              <w:top w:type="dxa" w:w="0"/>
              <w:bottom w:type="dxa" w:w="40"/>
              <w:right w:type="dxa" w:w="60"/>
              <w:left w:type="dxa" w:w="6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Operating expenses:</w:t>
            </w:r>
          </w:p>
        </w:tc>
        <w:tc>
          <w:tcPr>
            <w:tcW w:w="80" w:type="dxa"/>
            <w:tcMar>
              <w:right w:type="dxa" w:w="0"/>
              <w:left w:type="dxa" w:w="0"/>
            </w:tcMar>
            <w:vAlign w:val="bottom"/>
          </w:tcPr>
          <w:p>
            <w:pPr>
              <w:jc w:val="left"/>
              <w:keepNext/>
              <w:keepLines/>
              <w:spacing w:line="240.0" w:lineRule="auto"/>
              <w:rPr/>
            </w:pPr>
            <w:r>
              <w:rPr/>
            </w:r>
          </w:p>
        </w:tc>
        <w:tc w:gutter="left">
          <w:tcPr>
            <w:tcW w:w="110" w:type="dxa"/>
            <w:tcMar>
              <w:right w:type="dxa" w:w="0"/>
              <w:left w:type="dxa" w:w="0"/>
            </w:tcMar>
            <w:vAlign w:val="bottom"/>
            <w:hMerge w:val="restart"/>
          </w:tcPr>
          <w:p>
            <w:pPr>
              <w:jc w:val="left"/>
              <w:keepNext/>
              <w:keepLines/>
              <w:spacing w:line="240.0" w:lineRule="auto"/>
              <w:rPr/>
            </w:pPr>
            <w:r>
              <w:rPr/>
            </w:r>
          </w:p>
        </w:tc>
        <w:tc w:gutter="main">
          <w:tcPr>
            <w:tcW w:w="1210" w:type="dxa"/>
            <w:tcMar>
              <w:right w:type="dxa" w:w="0"/>
              <w:left w:type="dxa" w:w="0"/>
            </w:tcMar>
            <w:hMerge w:val="continue"/>
          </w:tcPr>
          <w:p>
            <w:pPr>
              <w:jc w:val="left"/>
              <w:keepNext/>
              <w:keepLines/>
              <w:spacing w:line="240.0" w:lineRule="auto"/>
              <w:rPr/>
            </w:pPr>
            <w:r>
              <w:rPr/>
            </w:r>
          </w:p>
        </w:tc>
        <w:tc w:gutter="right">
          <w:tcPr>
            <w:tcW w:w="80" w:type="dxa"/>
            <w:tcMar>
              <w:right w:type="dxa" w:w="0"/>
              <w:left w:type="dxa" w:w="0"/>
            </w:tcMar>
            <w:hMerge w:val="restart"/>
          </w:tcPr>
          <w:p/>
        </w:tc>
        <w:tc>
          <w:tcPr>
            <w:tcW w:w="80" w:type="dxa"/>
            <w:tcMar>
              <w:right w:type="dxa" w:w="0"/>
              <w:left w:type="dxa" w:w="0"/>
            </w:tcMar>
            <w:vAlign w:val="bottom"/>
          </w:tcPr>
          <w:p>
            <w:pPr>
              <w:jc w:val="left"/>
              <w:keepNext/>
              <w:keepLines/>
              <w:spacing w:line="240.0" w:lineRule="auto"/>
              <w:rPr/>
            </w:pPr>
            <w:r>
              <w:rPr/>
            </w:r>
          </w:p>
        </w:tc>
        <w:tc w:gutter="left">
          <w:tcPr>
            <w:tcW w:w="110" w:type="dxa"/>
            <w:tcMar>
              <w:right w:type="dxa" w:w="0"/>
              <w:left w:type="dxa" w:w="0"/>
            </w:tcMar>
            <w:vAlign w:val="bottom"/>
            <w:hMerge w:val="restart"/>
          </w:tcPr>
          <w:p>
            <w:pPr>
              <w:jc w:val="left"/>
              <w:keepNext/>
              <w:keepLines/>
              <w:spacing w:line="240.0" w:lineRule="auto"/>
              <w:rPr/>
            </w:pPr>
            <w:r>
              <w:rPr/>
            </w:r>
          </w:p>
        </w:tc>
        <w:tc w:gutter="main">
          <w:tcPr>
            <w:tcW w:w="1210" w:type="dxa"/>
            <w:tcMar>
              <w:right w:type="dxa" w:w="0"/>
              <w:left w:type="dxa" w:w="0"/>
            </w:tcMar>
            <w:hMerge w:val="continue"/>
          </w:tcPr>
          <w:p>
            <w:pPr>
              <w:jc w:val="left"/>
              <w:keepNext/>
              <w:keepLines/>
              <w:spacing w:line="240.0" w:lineRule="auto"/>
              <w:rPr/>
            </w:pPr>
            <w:r>
              <w:rPr/>
            </w:r>
          </w:p>
        </w:tc>
        <w:tc w:gutter="right">
          <w:tcPr>
            <w:tcW w:w="80" w:type="dxa"/>
            <w:tcMar>
              <w:right w:type="dxa" w:w="0"/>
              <w:left w:type="dxa" w:w="0"/>
            </w:tcMar>
            <w:hMerge w:val="restart"/>
          </w:tcPr>
          <w:p/>
        </w:tc>
      </w:tr>
      <w:tr>
        <w:trPr>
          <w:trHeight w:val="240" w:hRule="exact"/>
        </w:trPr>
        <w:tc>
          <w:tcPr>
            <w:tcW w:w="7280" w:type="dxa"/>
            <w:tcMar>
              <w:top w:type="dxa" w:w="0"/>
              <w:bottom w:type="dxa" w:w="40"/>
              <w:right w:type="dxa" w:w="60"/>
              <w:left w:type="dxa" w:w="42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Research and development</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3,394</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3,394</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2,329</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2,329</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42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Sales and marketing</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18,915</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18,915</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15,254</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15,254</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42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General and administrative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6,522</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6,522</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4,238</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4,238</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78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Total operating expenses</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28,831</w:t>
            </w:r>
          </w:p>
        </w:tc>
        <w:tc w:gutter="main">
          <w:tcPr>
            <w:tcMar>
              <w:top w:type="dxa" w:w="0"/>
              <w:bottom w:type="dxa" w:w="40"/>
              <w:right w:type="dxa" w:w="20"/>
              <w:left w:type="dxa" w:w="0"/>
            </w:tcMar>
            <w:tcBorders>
              <w:top w:spacing="0" w:val="single" w:sz="8.0" w:space="0"/>
            </w:tcBorders>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28,831</w:t>
            </w:r>
          </w:p>
        </w:tc>
        <w:tc w:gutter="right">
          <w:tcPr>
            <w:tcW w:w="80" w:type="dxa"/>
            <w:tcMar>
              <w:top w:type="dxa" w:w="0"/>
              <w:bottom w:type="dxa" w:w="40"/>
              <w:right w:type="dxa" w:w="20"/>
              <w:left w:type="dxa" w:w="0"/>
            </w:tcMar>
            <w:tcBorders>
              <w:top w:spacing="0" w:val="single" w:sz="8.0" w:space="0"/>
            </w:tcBorders>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21,821</w:t>
            </w:r>
          </w:p>
        </w:tc>
        <w:tc w:gutter="main">
          <w:tcPr>
            <w:tcMar>
              <w:top w:type="dxa" w:w="0"/>
              <w:bottom w:type="dxa" w:w="40"/>
              <w:right w:type="dxa" w:w="20"/>
              <w:left w:type="dxa" w:w="0"/>
            </w:tcMar>
            <w:tcBorders>
              <w:top w:spacing="0" w:val="single" w:sz="8.0" w:space="0"/>
            </w:tcBorders>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21,821</w:t>
            </w:r>
          </w:p>
        </w:tc>
        <w:tc w:gutter="right">
          <w:tcPr>
            <w:tcW w:w="80" w:type="dxa"/>
            <w:tcMar>
              <w:top w:type="dxa" w:w="0"/>
              <w:bottom w:type="dxa" w:w="40"/>
              <w:right w:type="dxa" w:w="20"/>
              <w:left w:type="dxa" w:w="0"/>
            </w:tcMar>
            <w:tcBorders>
              <w:top w:spacing="0" w:val="single" w:sz="8.0" w:space="0"/>
            </w:tcBorders>
          </w:tcPr>
          <w:p/>
        </w:tc>
      </w:tr>
      <w:tr>
        <w:trPr>
          <w:trHeight w:val="240" w:hRule="exact"/>
        </w:trPr>
        <w:tc>
          <w:tcPr>
            <w:tcW w:w="7280" w:type="dxa"/>
            <w:tcMar>
              <w:top w:type="dxa" w:w="0"/>
              <w:bottom w:type="dxa" w:w="40"/>
              <w:right w:type="dxa" w:w="60"/>
              <w:left w:type="dxa" w:w="78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Operating loss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(3,019</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(3,019</w:t>
            </w:r>
          </w:p>
        </w:tc>
        <w:tc w:gutter="right">
          <w:tcPr>
            <w:tcW w:w="80" w:type="dxa"/>
            <w:tcMar>
              <w:top w:type="dxa" w:w="0"/>
              <w:bottom w:type="dxa" w:w="40"/>
              <w:right w:type="dxa" w:w="20"/>
              <w:left w:type="dxa" w:w="0"/>
            </w:tcMar>
            <w:tcBorders>
              <w:top w:spacing="0" w:val="single" w:sz="8.0" w:space="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(278</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(278</w:t>
            </w:r>
          </w:p>
        </w:tc>
        <w:tc w:gutter="right">
          <w:tcPr>
            <w:tcW w:w="80" w:type="dxa"/>
            <w:tcMar>
              <w:top w:type="dxa" w:w="0"/>
              <w:bottom w:type="dxa" w:w="40"/>
              <w:right w:type="dxa" w:w="20"/>
              <w:left w:type="dxa" w:w="0"/>
            </w:tcMar>
            <w:tcBorders>
              <w:top w:spacing="0" w:val="single" w:sz="8.0" w:space="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6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Other operating income (expense):</w:t>
            </w:r>
          </w:p>
        </w:tc>
        <w:tc>
          <w:tcPr>
            <w:tcW w:w="80" w:type="dxa"/>
            <w:tcMar>
              <w:right w:type="dxa" w:w="0"/>
              <w:left w:type="dxa" w:w="0"/>
            </w:tcMar>
            <w:vAlign w:val="bottom"/>
          </w:tcPr>
          <w:p>
            <w:pPr>
              <w:jc w:val="left"/>
              <w:keepNext/>
              <w:keepLines/>
              <w:spacing w:line="240.0" w:lineRule="auto"/>
              <w:rPr/>
            </w:pPr>
            <w:r>
              <w:rPr/>
            </w:r>
          </w:p>
        </w:tc>
        <w:tc w:gutter="left">
          <w:tcPr>
            <w:tcW w:w="110" w:type="dxa"/>
            <w:tcMar>
              <w:right w:type="dxa" w:w="0"/>
              <w:left w:type="dxa" w:w="0"/>
            </w:tcMar>
            <w:vAlign w:val="bottom"/>
            <w:hMerge w:val="restart"/>
          </w:tcPr>
          <w:p>
            <w:pPr>
              <w:jc w:val="left"/>
              <w:keepNext/>
              <w:keepLines/>
              <w:spacing w:line="240.0" w:lineRule="auto"/>
              <w:rPr/>
            </w:pPr>
            <w:r>
              <w:rPr/>
            </w:r>
          </w:p>
        </w:tc>
        <w:tc w:gutter="main">
          <w:tcPr>
            <w:tcW w:w="1210" w:type="dxa"/>
            <w:tcMar>
              <w:right w:type="dxa" w:w="0"/>
              <w:left w:type="dxa" w:w="0"/>
            </w:tcMar>
            <w:hMerge w:val="continue"/>
          </w:tcPr>
          <w:p>
            <w:pPr>
              <w:jc w:val="left"/>
              <w:keepNext/>
              <w:keepLines/>
              <w:spacing w:line="240.0" w:lineRule="auto"/>
              <w:rPr/>
            </w:pPr>
            <w:r>
              <w:rPr/>
            </w:r>
          </w:p>
        </w:tc>
        <w:tc w:gutter="right">
          <w:tcPr>
            <w:tcW w:w="80" w:type="dxa"/>
            <w:tcMar>
              <w:right w:type="dxa" w:w="0"/>
              <w:left w:type="dxa" w:w="0"/>
            </w:tcMar>
            <w:hMerge w:val="restart"/>
          </w:tcPr>
          <w:p/>
        </w:tc>
        <w:tc>
          <w:tcPr>
            <w:tcW w:w="80" w:type="dxa"/>
            <w:tcMar>
              <w:right w:type="dxa" w:w="0"/>
              <w:left w:type="dxa" w:w="0"/>
            </w:tcMar>
            <w:vAlign w:val="bottom"/>
          </w:tcPr>
          <w:p>
            <w:pPr>
              <w:jc w:val="left"/>
              <w:keepNext/>
              <w:keepLines/>
              <w:spacing w:line="240.0" w:lineRule="auto"/>
              <w:rPr/>
            </w:pPr>
            <w:r>
              <w:rPr/>
            </w:r>
          </w:p>
        </w:tc>
        <w:tc w:gutter="left">
          <w:tcPr>
            <w:tcW w:w="110" w:type="dxa"/>
            <w:tcMar>
              <w:right w:type="dxa" w:w="0"/>
              <w:left w:type="dxa" w:w="0"/>
            </w:tcMar>
            <w:vAlign w:val="bottom"/>
            <w:hMerge w:val="restart"/>
          </w:tcPr>
          <w:p>
            <w:pPr>
              <w:jc w:val="left"/>
              <w:keepNext/>
              <w:keepLines/>
              <w:spacing w:line="240.0" w:lineRule="auto"/>
              <w:rPr/>
            </w:pPr>
            <w:r>
              <w:rPr/>
            </w:r>
          </w:p>
        </w:tc>
        <w:tc w:gutter="main">
          <w:tcPr>
            <w:tcW w:w="1210" w:type="dxa"/>
            <w:tcMar>
              <w:right w:type="dxa" w:w="0"/>
              <w:left w:type="dxa" w:w="0"/>
            </w:tcMar>
            <w:hMerge w:val="continue"/>
          </w:tcPr>
          <w:p>
            <w:pPr>
              <w:jc w:val="left"/>
              <w:keepNext/>
              <w:keepLines/>
              <w:spacing w:line="240.0" w:lineRule="auto"/>
              <w:rPr/>
            </w:pPr>
            <w:r>
              <w:rPr/>
            </w:r>
          </w:p>
        </w:tc>
        <w:tc w:gutter="right">
          <w:tcPr>
            <w:tcW w:w="80" w:type="dxa"/>
            <w:tcMar>
              <w:right w:type="dxa" w:w="0"/>
              <w:left w:type="dxa" w:w="0"/>
            </w:tcMar>
            <w:hMerge w:val="restart"/>
          </w:tcPr>
          <w:p/>
        </w:tc>
      </w:tr>
      <w:tr>
        <w:trPr>
          <w:trHeight w:val="240" w:hRule="exact"/>
        </w:trPr>
        <w:tc>
          <w:tcPr>
            <w:tcW w:w="7280" w:type="dxa"/>
            <w:tcMar>
              <w:top w:type="dxa" w:w="0"/>
              <w:bottom w:type="dxa" w:w="40"/>
              <w:right w:type="dxa" w:w="60"/>
              <w:left w:type="dxa" w:w="42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Other income (expense)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(41</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(41</w:t>
            </w:r>
          </w:p>
        </w:tc>
        <w:tc w:gutter="right">
          <w:tcPr>
            <w:tcW w:w="80" w:type="dxa"/>
            <w:tcMar>
              <w:top w:type="dxa" w:w="0"/>
              <w:bottom w:type="dxa" w:w="40"/>
              <w:right w:type="dxa" w:w="2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461</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461</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42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Interest income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42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Interest expense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(282</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(282</w:t>
            </w:r>
          </w:p>
        </w:tc>
        <w:tc w:gutter="right">
          <w:tcPr>
            <w:tcW w:w="80" w:type="dxa"/>
            <w:tcMar>
              <w:top w:type="dxa" w:w="0"/>
              <w:bottom w:type="dxa" w:w="40"/>
              <w:right w:type="dxa" w:w="2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(1,002</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(1,002</w:t>
            </w:r>
          </w:p>
        </w:tc>
        <w:tc w:gutter="right">
          <w:tcPr>
            <w:tcW w:w="80" w:type="dxa"/>
            <w:tcMar>
              <w:top w:type="dxa" w:w="0"/>
              <w:bottom w:type="dxa" w:w="40"/>
              <w:right w:type="dxa" w:w="2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420"/>
            </w:tcMar>
            <w:vAlign w:val="bottom"/>
          </w:tcPr>
          <w:p>
            <w:pPr>
              <w:ind w:left="180" w:firstLine="-180"/>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Accretion related to warrants and discounts on long-term debt</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(507</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(507</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42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Change in fair value of common stock warrants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(277</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(277</w:t>
            </w:r>
          </w:p>
        </w:tc>
        <w:tc w:gutter="right">
          <w:tcPr>
            <w:tcW w:w="80" w:type="dxa"/>
            <w:tcMar>
              <w:top w:type="dxa" w:w="0"/>
              <w:bottom w:type="dxa" w:w="40"/>
              <w:right w:type="dxa" w:w="2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78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Total other income (expense), net</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(323</w:t>
            </w:r>
          </w:p>
        </w:tc>
        <w:tc w:gutter="main">
          <w:tcPr>
            <w:tcMar>
              <w:top w:type="dxa" w:w="0"/>
              <w:bottom w:type="dxa" w:w="40"/>
              <w:right w:type="dxa" w:w="20"/>
              <w:left w:type="dxa" w:w="0"/>
            </w:tcMar>
            <w:tcBorders>
              <w:top w:spacing="0" w:val="single" w:sz="8.0" w:space="0"/>
            </w:tcBorders>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(323</w:t>
            </w:r>
          </w:p>
        </w:tc>
        <w:tc w:gutter="right">
          <w:tcPr>
            <w:tcW w:w="80" w:type="dxa"/>
            <w:tcMar>
              <w:top w:type="dxa" w:w="0"/>
              <w:bottom w:type="dxa" w:w="40"/>
              <w:right w:type="dxa" w:w="20"/>
              <w:left w:type="dxa" w:w="0"/>
            </w:tcMar>
            <w:tcBorders>
              <w:top w:spacing="0" w:val="single" w:sz="8.0" w:space="0"/>
            </w:tcBorders>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(1,321</w:t>
            </w:r>
          </w:p>
        </w:tc>
        <w:tc w:gutter="main">
          <w:tcPr>
            <w:tcMar>
              <w:top w:type="dxa" w:w="0"/>
              <w:bottom w:type="dxa" w:w="40"/>
              <w:right w:type="dxa" w:w="20"/>
              <w:left w:type="dxa" w:w="0"/>
            </w:tcMar>
            <w:tcBorders>
              <w:top w:spacing="0" w:val="single" w:sz="8.0" w:space="0"/>
            </w:tcBorders>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(1,321</w:t>
            </w:r>
          </w:p>
        </w:tc>
        <w:tc w:gutter="right">
          <w:tcPr>
            <w:tcW w:w="80" w:type="dxa"/>
            <w:tcMar>
              <w:top w:type="dxa" w:w="0"/>
              <w:bottom w:type="dxa" w:w="40"/>
              <w:right w:type="dxa" w:w="20"/>
              <w:left w:type="dxa" w:w="0"/>
            </w:tcMar>
            <w:tcBorders>
              <w:top w:spacing="0" w:val="single" w:sz="8.0" w:space="0"/>
            </w:tcBorders>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78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Loss before income taxes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(3,342</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(3,342</w:t>
            </w:r>
          </w:p>
        </w:tc>
        <w:tc w:gutter="right">
          <w:tcPr>
            <w:tcW w:w="80" w:type="dxa"/>
            <w:tcMar>
              <w:top w:type="dxa" w:w="0"/>
              <w:bottom w:type="dxa" w:w="40"/>
              <w:right w:type="dxa" w:w="20"/>
              <w:left w:type="dxa" w:w="0"/>
            </w:tcMar>
            <w:tcBorders>
              <w:top w:spacing="0" w:val="single" w:sz="8.0" w:space="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(1,599</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(1,599</w:t>
            </w:r>
          </w:p>
        </w:tc>
        <w:tc w:gutter="right">
          <w:tcPr>
            <w:tcW w:w="80" w:type="dxa"/>
            <w:tcMar>
              <w:top w:type="dxa" w:w="0"/>
              <w:bottom w:type="dxa" w:w="40"/>
              <w:right w:type="dxa" w:w="20"/>
              <w:left w:type="dxa" w:w="0"/>
            </w:tcMar>
            <w:tcBorders>
              <w:top w:spacing="0" w:val="single" w:sz="8.0" w:space="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6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Income tax expense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(157</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(157</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(288</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(288</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78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Net loss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(3,499</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(3,499</w:t>
            </w:r>
          </w:p>
        </w:tc>
        <w:tc w:gutter="right">
          <w:tcPr>
            <w:tcW w:w="80" w:type="dxa"/>
            <w:tcMar>
              <w:top w:type="dxa" w:w="0"/>
              <w:bottom w:type="dxa" w:w="40"/>
              <w:right w:type="dxa" w:w="20"/>
              <w:left w:type="dxa" w:w="0"/>
            </w:tcMar>
            <w:tcBorders>
              <w:top w:spacing="0" w:val="single" w:sz="8.0" w:space="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(1,887</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(1,887</w:t>
            </w:r>
          </w:p>
        </w:tc>
        <w:tc w:gutter="right">
          <w:tcPr>
            <w:tcW w:w="80" w:type="dxa"/>
            <w:tcMar>
              <w:top w:type="dxa" w:w="0"/>
              <w:bottom w:type="dxa" w:w="40"/>
              <w:right w:type="dxa" w:w="20"/>
              <w:left w:type="dxa" w:w="0"/>
            </w:tcMar>
            <w:tcBorders>
              <w:top w:spacing="0" w:val="single" w:sz="8.0" w:space="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6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Other comprehensive loss:</w:t>
            </w:r>
          </w:p>
        </w:tc>
        <w:tc>
          <w:tcPr>
            <w:tcW w:w="80" w:type="dxa"/>
            <w:tcMar>
              <w:right w:type="dxa" w:w="0"/>
              <w:left w:type="dxa" w:w="0"/>
            </w:tcMar>
            <w:vAlign w:val="bottom"/>
          </w:tcPr>
          <w:p>
            <w:pPr>
              <w:jc w:val="left"/>
              <w:keepNext/>
              <w:keepLines/>
              <w:spacing w:line="240.0" w:lineRule="auto"/>
              <w:rPr/>
            </w:pPr>
            <w:r>
              <w:rPr/>
            </w:r>
          </w:p>
        </w:tc>
        <w:tc w:gutter="left">
          <w:tcPr>
            <w:tcW w:w="110" w:type="dxa"/>
            <w:tcMar>
              <w:right w:type="dxa" w:w="0"/>
              <w:left w:type="dxa" w:w="0"/>
            </w:tcMar>
            <w:vAlign w:val="bottom"/>
            <w:hMerge w:val="restart"/>
          </w:tcPr>
          <w:p>
            <w:pPr>
              <w:jc w:val="left"/>
              <w:keepNext/>
              <w:keepLines/>
              <w:spacing w:line="240.0" w:lineRule="auto"/>
              <w:rPr/>
            </w:pPr>
            <w:r>
              <w:rPr/>
            </w:r>
          </w:p>
        </w:tc>
        <w:tc w:gutter="main">
          <w:tcPr>
            <w:tcW w:w="1210" w:type="dxa"/>
            <w:tcMar>
              <w:right w:type="dxa" w:w="0"/>
              <w:left w:type="dxa" w:w="0"/>
            </w:tcMar>
            <w:hMerge w:val="continue"/>
          </w:tcPr>
          <w:p>
            <w:pPr>
              <w:jc w:val="left"/>
              <w:keepNext/>
              <w:keepLines/>
              <w:spacing w:line="240.0" w:lineRule="auto"/>
              <w:rPr/>
            </w:pPr>
            <w:r>
              <w:rPr/>
            </w:r>
          </w:p>
        </w:tc>
        <w:tc w:gutter="right">
          <w:tcPr>
            <w:tcW w:w="80" w:type="dxa"/>
            <w:tcMar>
              <w:right w:type="dxa" w:w="0"/>
              <w:left w:type="dxa" w:w="0"/>
            </w:tcMar>
            <w:hMerge w:val="restart"/>
          </w:tcPr>
          <w:p/>
        </w:tc>
        <w:tc>
          <w:tcPr>
            <w:tcW w:w="80" w:type="dxa"/>
            <w:tcMar>
              <w:right w:type="dxa" w:w="0"/>
              <w:left w:type="dxa" w:w="0"/>
            </w:tcMar>
            <w:vAlign w:val="bottom"/>
          </w:tcPr>
          <w:p>
            <w:pPr>
              <w:jc w:val="left"/>
              <w:keepNext/>
              <w:keepLines/>
              <w:spacing w:line="240.0" w:lineRule="auto"/>
              <w:rPr/>
            </w:pPr>
            <w:r>
              <w:rPr/>
            </w:r>
          </w:p>
        </w:tc>
        <w:tc w:gutter="left">
          <w:tcPr>
            <w:tcW w:w="110" w:type="dxa"/>
            <w:tcMar>
              <w:right w:type="dxa" w:w="0"/>
              <w:left w:type="dxa" w:w="0"/>
            </w:tcMar>
            <w:vAlign w:val="bottom"/>
            <w:hMerge w:val="restart"/>
          </w:tcPr>
          <w:p>
            <w:pPr>
              <w:jc w:val="left"/>
              <w:keepNext/>
              <w:keepLines/>
              <w:spacing w:line="240.0" w:lineRule="auto"/>
              <w:rPr/>
            </w:pPr>
            <w:r>
              <w:rPr/>
            </w:r>
          </w:p>
        </w:tc>
        <w:tc w:gutter="main">
          <w:tcPr>
            <w:tcW w:w="1210" w:type="dxa"/>
            <w:tcMar>
              <w:right w:type="dxa" w:w="0"/>
              <w:left w:type="dxa" w:w="0"/>
            </w:tcMar>
            <w:hMerge w:val="continue"/>
          </w:tcPr>
          <w:p>
            <w:pPr>
              <w:jc w:val="left"/>
              <w:keepNext/>
              <w:keepLines/>
              <w:spacing w:line="240.0" w:lineRule="auto"/>
              <w:rPr/>
            </w:pPr>
            <w:r>
              <w:rPr/>
            </w:r>
          </w:p>
        </w:tc>
        <w:tc w:gutter="right">
          <w:tcPr>
            <w:tcW w:w="80" w:type="dxa"/>
            <w:tcMar>
              <w:right w:type="dxa" w:w="0"/>
              <w:left w:type="dxa" w:w="0"/>
            </w:tcMar>
            <w:hMerge w:val="restart"/>
          </w:tcPr>
          <w:p/>
        </w:tc>
      </w:tr>
      <w:tr>
        <w:trPr>
          <w:trHeight w:val="240" w:hRule="exact"/>
        </w:trPr>
        <w:tc>
          <w:tcPr>
            <w:tcW w:w="7280" w:type="dxa"/>
            <w:tcMar>
              <w:top w:type="dxa" w:w="0"/>
              <w:bottom w:type="dxa" w:w="40"/>
              <w:right w:type="dxa" w:w="60"/>
              <w:left w:type="dxa" w:w="42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Foreign currency translation</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(48</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(48</w:t>
            </w:r>
          </w:p>
        </w:tc>
        <w:tc w:gutter="right">
          <w:tcPr>
            <w:tcW w:w="80" w:type="dxa"/>
            <w:tcMar>
              <w:top w:type="dxa" w:w="0"/>
              <w:bottom w:type="dxa" w:w="40"/>
              <w:right w:type="dxa" w:w="2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(758</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(758</w:t>
            </w:r>
          </w:p>
        </w:tc>
        <w:tc w:gutter="right">
          <w:tcPr>
            <w:tcW w:w="80" w:type="dxa"/>
            <w:tcMar>
              <w:top w:type="dxa" w:w="0"/>
              <w:bottom w:type="dxa" w:w="40"/>
              <w:right w:type="dxa" w:w="2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78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Comprehensive loss</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0"/>
              <w:left w:type="dxa" w:w="0"/>
            </w:tcMar>
            <w:tcBorders>
              <w:top w:spacing="0" w:val="single" w:sz="8.0" w:space="0"/>
              <w:bottom w:spacing="0" w:val="double" w:sz="4.0"/>
            </w:tcBorders>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tcBorders>
              <w:top w:spacing="0" w:val="single" w:sz="8.0" w:space="0"/>
              <w:bottom w:spacing="0" w:val="double" w:sz="4.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(3,547</w:t>
            </w:r>
          </w:p>
        </w:tc>
        <w:tc w:gutter="right">
          <w:tcPr>
            <w:tcW w:w="80" w:type="dxa"/>
            <w:tcMar>
              <w:top w:type="dxa" w:w="0"/>
              <w:bottom w:type="dxa" w:w="40"/>
              <w:right w:type="dxa" w:w="20"/>
              <w:left w:type="dxa" w:w="0"/>
            </w:tcMar>
            <w:tcBorders>
              <w:top w:spacing="0" w:val="single" w:sz="8.0" w:space="0"/>
              <w:bottom w:spacing="0" w:val="double" w:sz="4.0"/>
            </w:tcBorders>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0"/>
              <w:left w:type="dxa" w:w="0"/>
            </w:tcMar>
            <w:tcBorders>
              <w:top w:spacing="0" w:val="single" w:sz="8.0" w:space="0"/>
              <w:bottom w:spacing="0" w:val="double" w:sz="4.0"/>
            </w:tcBorders>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tcBorders>
              <w:top w:spacing="0" w:val="single" w:sz="8.0" w:space="0"/>
              <w:bottom w:spacing="0" w:val="double" w:sz="4.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(2,645</w:t>
            </w:r>
          </w:p>
        </w:tc>
        <w:tc w:gutter="right">
          <w:tcPr>
            <w:tcW w:w="80" w:type="dxa"/>
            <w:tcMar>
              <w:top w:type="dxa" w:w="0"/>
              <w:bottom w:type="dxa" w:w="40"/>
              <w:right w:type="dxa" w:w="20"/>
              <w:left w:type="dxa" w:w="0"/>
            </w:tcMar>
            <w:tcBorders>
              <w:top w:spacing="0" w:val="single" w:sz="8.0" w:space="0"/>
              <w:bottom w:spacing="0" w:val="double" w:sz="4.0"/>
            </w:tcBorders>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6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Net loss per common share: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right w:type="dxa" w:w="0"/>
              <w:left w:type="dxa" w:w="0"/>
            </w:tcMar>
            <w:shd w:fill="cceeff"/>
            <w:vAlign w:val="bottom"/>
            <w:hMerge w:val="restart"/>
          </w:tcPr>
          <w:p>
            <w:pPr>
              <w:jc w:val="left"/>
              <w:keepNext/>
              <w:keepLines/>
              <w:spacing w:line="240.0" w:lineRule="auto"/>
              <w:rPr/>
            </w:pPr>
            <w:r>
              <w:rPr/>
            </w:r>
          </w:p>
        </w:tc>
        <w:tc w:gutter="main">
          <w:tcPr>
            <w:tcW w:w="1210" w:type="dxa"/>
            <w:tcMar>
              <w:right w:type="dxa" w:w="0"/>
              <w:left w:type="dxa" w:w="0"/>
            </w:tcMar>
            <w:shd w:fill="cceeff"/>
            <w:hMerge w:val="continue"/>
          </w:tcPr>
          <w:p>
            <w:pPr>
              <w:jc w:val="left"/>
              <w:keepNext/>
              <w:keepLines/>
              <w:spacing w:line="240.0" w:lineRule="auto"/>
              <w:rPr/>
            </w:pPr>
            <w:r>
              <w:rPr/>
            </w:r>
          </w:p>
        </w:tc>
        <w:tc w:gutter="right">
          <w:tcPr>
            <w:tcW w:w="80" w:type="dxa"/>
            <w:tcMar>
              <w:right w:type="dxa" w:w="0"/>
              <w:left w:type="dxa" w:w="0"/>
            </w:tcMar>
            <w:shd w:fill="cceeff"/>
            <w:hMerge w:val="restart"/>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right w:type="dxa" w:w="0"/>
              <w:left w:type="dxa" w:w="0"/>
            </w:tcMar>
            <w:shd w:fill="cceeff"/>
            <w:vAlign w:val="bottom"/>
            <w:hMerge w:val="restart"/>
          </w:tcPr>
          <w:p>
            <w:pPr>
              <w:jc w:val="left"/>
              <w:keepNext/>
              <w:keepLines/>
              <w:spacing w:line="240.0" w:lineRule="auto"/>
              <w:rPr/>
            </w:pPr>
            <w:r>
              <w:rPr/>
            </w:r>
          </w:p>
        </w:tc>
        <w:tc w:gutter="main">
          <w:tcPr>
            <w:tcW w:w="1210" w:type="dxa"/>
            <w:tcMar>
              <w:right w:type="dxa" w:w="0"/>
              <w:left w:type="dxa" w:w="0"/>
            </w:tcMar>
            <w:shd w:fill="cceeff"/>
            <w:hMerge w:val="continue"/>
          </w:tcPr>
          <w:p>
            <w:pPr>
              <w:jc w:val="left"/>
              <w:keepNext/>
              <w:keepLines/>
              <w:spacing w:line="240.0" w:lineRule="auto"/>
              <w:rPr/>
            </w:pPr>
            <w:r>
              <w:rPr/>
            </w:r>
          </w:p>
        </w:tc>
        <w:tc w:gutter="right">
          <w:tcPr>
            <w:tcW w:w="80" w:type="dxa"/>
            <w:tcMar>
              <w:right w:type="dxa" w:w="0"/>
              <w:left w:type="dxa" w:w="0"/>
            </w:tcMar>
            <w:shd w:fill="cceeff"/>
            <w:hMerge w:val="restart"/>
          </w:tcPr>
          <w:p/>
        </w:tc>
      </w:tr>
      <w:tr>
        <w:trPr>
          <w:trHeight w:val="240" w:hRule="exact"/>
        </w:trPr>
        <w:tc>
          <w:tcPr>
            <w:tcW w:w="7280" w:type="dxa"/>
            <w:tcMar>
              <w:top w:type="dxa" w:w="0"/>
              <w:bottom w:type="dxa" w:w="40"/>
              <w:right w:type="dxa" w:w="60"/>
              <w:left w:type="dxa" w:w="42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Basic and diluted</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(0.15</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(0.41</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6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Weighted average number of shares outstanding:</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right w:type="dxa" w:w="0"/>
              <w:left w:type="dxa" w:w="0"/>
            </w:tcMar>
            <w:shd w:fill="cceeff"/>
            <w:vAlign w:val="bottom"/>
            <w:hMerge w:val="restart"/>
          </w:tcPr>
          <w:p>
            <w:pPr>
              <w:jc w:val="left"/>
              <w:keepNext/>
              <w:keepLines/>
              <w:spacing w:line="240.0" w:lineRule="auto"/>
              <w:rPr/>
            </w:pPr>
            <w:r>
              <w:rPr/>
            </w:r>
          </w:p>
        </w:tc>
        <w:tc w:gutter="main">
          <w:tcPr>
            <w:tcW w:w="1210" w:type="dxa"/>
            <w:tcMar>
              <w:right w:type="dxa" w:w="0"/>
              <w:left w:type="dxa" w:w="0"/>
            </w:tcMar>
            <w:shd w:fill="cceeff"/>
            <w:hMerge w:val="continue"/>
          </w:tcPr>
          <w:p>
            <w:pPr>
              <w:jc w:val="left"/>
              <w:keepNext/>
              <w:keepLines/>
              <w:spacing w:line="240.0" w:lineRule="auto"/>
              <w:rPr/>
            </w:pPr>
            <w:r>
              <w:rPr/>
            </w:r>
          </w:p>
        </w:tc>
        <w:tc w:gutter="right">
          <w:tcPr>
            <w:tcW w:w="80" w:type="dxa"/>
            <w:tcMar>
              <w:right w:type="dxa" w:w="0"/>
              <w:left w:type="dxa" w:w="0"/>
            </w:tcMar>
            <w:shd w:fill="cceeff"/>
            <w:hMerge w:val="restart"/>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right w:type="dxa" w:w="0"/>
              <w:left w:type="dxa" w:w="0"/>
            </w:tcMar>
            <w:shd w:fill="cceeff"/>
            <w:vAlign w:val="bottom"/>
            <w:hMerge w:val="restart"/>
          </w:tcPr>
          <w:p>
            <w:pPr>
              <w:jc w:val="left"/>
              <w:keepNext/>
              <w:keepLines/>
              <w:spacing w:line="240.0" w:lineRule="auto"/>
              <w:rPr/>
            </w:pPr>
            <w:r>
              <w:rPr/>
            </w:r>
          </w:p>
        </w:tc>
        <w:tc w:gutter="main">
          <w:tcPr>
            <w:tcW w:w="1210" w:type="dxa"/>
            <w:tcMar>
              <w:right w:type="dxa" w:w="0"/>
              <w:left w:type="dxa" w:w="0"/>
            </w:tcMar>
            <w:shd w:fill="cceeff"/>
            <w:hMerge w:val="continue"/>
          </w:tcPr>
          <w:p>
            <w:pPr>
              <w:jc w:val="left"/>
              <w:keepNext/>
              <w:keepLines/>
              <w:spacing w:line="240.0" w:lineRule="auto"/>
              <w:rPr/>
            </w:pPr>
            <w:r>
              <w:rPr/>
            </w:r>
          </w:p>
        </w:tc>
        <w:tc w:gutter="right">
          <w:tcPr>
            <w:tcW w:w="80" w:type="dxa"/>
            <w:tcMar>
              <w:right w:type="dxa" w:w="0"/>
              <w:left w:type="dxa" w:w="0"/>
            </w:tcMar>
            <w:shd w:fill="cceeff"/>
            <w:hMerge w:val="restart"/>
          </w:tcPr>
          <w:p/>
        </w:tc>
      </w:tr>
      <w:tr>
        <w:trPr>
          <w:trHeight w:val="240" w:hRule="exact"/>
        </w:trPr>
        <w:tc>
          <w:tcPr>
            <w:tcW w:w="7280" w:type="dxa"/>
            <w:tcMar>
              <w:top w:type="dxa" w:w="0"/>
              <w:bottom w:type="dxa" w:w="40"/>
              <w:right w:type="dxa" w:w="60"/>
              <w:left w:type="dxa" w:w="420"/>
            </w:tcMar>
            <w:vAlign w:val="bottom"/>
          </w:tcPr>
          <w:p>
            <w:pPr>
              <w:jc w:val="lef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Basic and diluted</w:t>
            </w:r>
          </w:p>
        </w:tc>
        <w:tc>
          <w:tcPr>
            <w:tcW w:w="80" w:type="dxa"/>
            <w:tcMar>
              <w:right w:type="dxa" w:w="0"/>
              <w:left w:type="dxa" w:w="0"/>
            </w:tcMar>
            <w:vAlign w:val="bottom"/>
          </w:tcPr>
          <w:p>
            <w:pPr>
              <w:jc w:val="lef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24,083,796</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24,083,796</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4,658,453</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4,658,453</w:t>
            </w:r>
          </w:p>
        </w:tc>
        <w:tc w:gutter="right">
          <w:tcPr>
            <w:tcW w:w="80" w:type="dxa"/>
            <w:tcMar>
              <w:top w:type="dxa" w:w="0"/>
              <w:bottom w:type="dxa" w:w="40"/>
              <w:right w:type="dxa" w:w="20"/>
              <w:left w:type="dxa" w:w="0"/>
            </w:tcMar>
          </w:tcPr>
          <w:p/>
        </w:tc>
      </w:tr>
    </w:tbl>
    <w:p>
      <w:pPr>
        <w:jc w:val="left"/>
        <w:spacing w:line="220.0" w:lineRule="exact"/>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4" w:type="default"/>
        </w:sectPr>
      </w:pPr>
    </w:p>
    <w:p>
      <w:pPr>
        <w:jc w:val="center"/>
        <w:keepNext/>
        <w:keepLines/>
        <w:spacing w:line="288.0" w:lineRule="auto"/>
        <w:rPr>
          <w:rFonts w:ascii="Times New Roman" w:hAnsi="Times New Roman" w:eastAsia="Times New Roman" w:cs="Times New Roman"/>
          <w:sz w:val="18"/>
          <w:b w:val="true"/>
        </w:rPr>
      </w:pPr>
      <w:r>
        <w:rPr>
          <w:rFonts w:ascii="Times New Roman" w:hAnsi="Times New Roman" w:eastAsia="Times New Roman" w:cs="Times New Roman"/>
          <w:sz w:val="18"/>
          <w:b w:val="true"/>
        </w:rPr>
        <w:t xml:space="preserve">LDR HOLDING CORPORATION AND SUBSIDIARIES</w:t>
      </w:r>
      <w:bookmarkStart w:id="47976" w:name="Section30EFA39BD807D1D2362B9937EEB2EC00"/>
      <w:bookmarkEnd w:id="47976"/>
    </w:p>
    <w:p>
      <w:pPr>
        <w:jc w:val="center"/>
        <w:keepNext/>
        <w:keepLines/>
        <w:spacing w:line="288.0" w:lineRule="auto"/>
        <w:rPr>
          <w:rFonts w:ascii="Times New Roman" w:hAnsi="Times New Roman" w:eastAsia="Times New Roman" w:cs="Times New Roman"/>
          <w:sz w:val="18"/>
          <w:b w:val="true"/>
        </w:rPr>
      </w:pPr>
      <w:r>
        <w:rPr>
          <w:rFonts w:ascii="Times New Roman" w:hAnsi="Times New Roman" w:eastAsia="Times New Roman" w:cs="Times New Roman"/>
          <w:sz w:val="18"/>
          <w:b w:val="true"/>
        </w:rPr>
        <w:t xml:space="preserve">CONDENSED CONSOLIDATED STATEMENTS OF CASH FLOWS</w:t>
      </w:r>
    </w:p>
    <w:p>
      <w:pPr>
        <w:jc w:val="center"/>
        <w:keepNext/>
        <w:keepLines/>
        <w:spacing w:line="288.0" w:lineRule="auto"/>
        <w:rPr>
          <w:rFonts w:ascii="Times New Roman" w:hAnsi="Times New Roman" w:eastAsia="Times New Roman" w:cs="Times New Roman"/>
          <w:sz w:val="18"/>
          <w:b w:val="true"/>
        </w:rPr>
      </w:pPr>
      <w:r>
        <w:rPr>
          <w:rFonts w:ascii="Times New Roman" w:hAnsi="Times New Roman" w:eastAsia="Times New Roman" w:cs="Times New Roman"/>
          <w:sz w:val="18"/>
          <w:b w:val="true"/>
        </w:rPr>
        <w:t xml:space="preserve">(in thousands)</w:t>
      </w:r>
    </w:p>
    <w:p>
      <w:pPr>
        <w:jc w:val="center"/>
        <w:keepNext/>
        <w:keepLines/>
        <w:spacing w:line="288.0" w:lineRule="auto"/>
        <w:rPr>
          <w:rFonts w:ascii="Times New Roman" w:hAnsi="Times New Roman" w:eastAsia="Times New Roman" w:cs="Times New Roman"/>
          <w:sz w:val="18"/>
          <w:b w:val="true"/>
        </w:rPr>
      </w:pPr>
      <w:r>
        <w:rPr>
          <w:rFonts w:ascii="Times New Roman" w:hAnsi="Times New Roman" w:eastAsia="Times New Roman" w:cs="Times New Roman"/>
          <w:sz w:val="18"/>
          <w:b w:val="true"/>
        </w:rPr>
        <w:t xml:space="preserve">(Unaudited)</w:t>
      </w:r>
    </w:p>
    <w:p>
      <w:pPr>
        <w:jc w:val="left"/>
        <w:spacing w:line="200" w:lineRule="exact"/>
        <w:rPr/>
        <w:keepNext/>
      </w:pPr>
      <w:r>
        <w:rPr/>
      </w:r>
    </w:p>
    <w:p>
      <w:pPr>
        <w:jc w:val="left"/>
        <w:spacing w:line="200" w:lineRule="exact"/>
        <w:rPr/>
        <w:keepNext/>
      </w:pPr>
      <w:r>
        <w:rPr/>
      </w:r>
    </w:p>
    <w:tbl>
      <w:tblPr>
        <w:tblW w:w="10240" w:type="dxa"/>
        <w:tblLayout w:type="fixed"/>
        <w:jc w:val="center"/>
      </w:tblPr>
      <w:tblGrid>
        <w:gridCol w:w="7280"/>
        <w:gridCol w:w="80"/>
        <w:gridCol w:w="110"/>
        <w:gridCol w:w="1210"/>
        <w:gridCol w:w="80"/>
        <w:gridCol w:w="80"/>
        <w:gridCol w:w="110"/>
        <w:gridCol w:w="1210"/>
        <w:gridCol w:w="80"/>
      </w:tblGrid>
      <w:tr>
        <w:trPr>
          <w:trHeight w:val="240" w:hRule="exact"/>
        </w:trPr>
        <w:tc>
          <w:tcPr>
            <w:tcW w:w="7280" w:type="dxa"/>
            <w:tcMar>
              <w:right w:type="dxa" w:w="60"/>
              <w:left w:type="dxa" w:w="60"/>
            </w:tcMar>
            <w:vAlign w:val="bottom"/>
          </w:tcPr>
          <w:p>
            <w:pPr>
              <w:jc w:val="left"/>
              <w:keepNext/>
              <w:keepLines/>
              <w:spacing w:line="240.0" w:lineRule="auto"/>
              <w:rPr/>
            </w:pPr>
            <w:r>
              <w:rPr/>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40"/>
              <w:left w:type="dxa" w:w="0"/>
            </w:tcMar>
            <w:hMerge w:val="restart"/>
            <w:tcBorders>
              <w:bottom w:spacing="0" w:val="single" w:sz="8.0"/>
            </w:tcBorders>
            <w:vAlign w:val="bottom"/>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Three Months Ended March 31,</w:t>
            </w:r>
          </w:p>
        </w:tc>
        <w:tc w:gutter="main">
          <w:tcPr>
            <w:tcW w:w="2880" w:type="dxa"/>
            <w:tcMar>
              <w:top w:type="dxa" w:w="0"/>
              <w:bottom w:type="dxa" w:w="40"/>
              <w:right w:type="dxa" w:w="40"/>
              <w:left w:type="dxa" w:w="0"/>
            </w:tcMar>
            <w:hMerge w:val="continue"/>
            <w:tcBorders>
              <w:bottom w:spacing="0" w:val="single" w:sz="8.0"/>
            </w:tcBorders>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Three Months Ended March 31,</w:t>
            </w:r>
          </w:p>
        </w:tc>
        <w:tc w:gutter="right">
          <w:tcPr>
            <w:tcW w:w="80" w:type="dxa"/>
            <w:tcMar>
              <w:top w:type="dxa" w:w="0"/>
              <w:bottom w:type="dxa" w:w="40"/>
              <w:right w:type="dxa" w:w="0"/>
              <w:left w:type="dxa" w:w="0"/>
            </w:tcMar>
            <w:hMerge w:val="continue"/>
            <w:tcBorders>
              <w:bottom w:spacing="0" w:val="single" w:sz="8.0"/>
            </w:tcBorders>
          </w:tcPr>
          <w:p/>
        </w:tc>
        <w:tc>
          <w:tcPr>
            <w:tcMar>
              <w:right w:type="dxa" w:w="0"/>
              <w:left w:type="dxa" w:w="0"/>
            </w:tcMar>
            <w:hMerge w:val="continue"/>
            <w:tcBorders>
              <w:bottom w:spacing="0" w:val="single" w:sz="8.0"/>
            </w:tcBorders>
            <w:vAlign w:val="bottom"/>
          </w:tcPr>
          <w:p>
            <w:pPr>
              <w:jc w:val="left"/>
              <w:keepNext/>
              <w:keepLines/>
              <w:spacing w:line="240.0" w:lineRule="auto"/>
              <w:rPr/>
            </w:pPr>
            <w:r>
              <w:rPr/>
            </w:r>
          </w:p>
        </w:tc>
        <w:tc w:gutter="left">
          <w:tcPr>
            <w:tcW w:w="110" w:type="dxa"/>
            <w:tcMar>
              <w:right w:type="dxa" w:w="0"/>
              <w:left w:type="dxa" w:w="0"/>
            </w:tcMar>
            <w:hMerge w:val="continue"/>
            <w:tcBorders>
              <w:bottom w:spacing="0" w:val="single" w:sz="8.0"/>
            </w:tcBorders>
            <w:vAlign w:val="bottom"/>
          </w:tcPr>
          <w:p>
            <w:pPr>
              <w:jc w:val="left"/>
              <w:keepNext/>
              <w:keepLines/>
              <w:spacing w:line="240.0" w:lineRule="auto"/>
              <w:rPr/>
            </w:pPr>
            <w:r>
              <w:rPr/>
            </w:r>
          </w:p>
        </w:tc>
        <w:tc w:gutter="main">
          <w:tcPr>
            <w:tcMar>
              <w:right w:type="dxa" w:w="0"/>
              <w:left w:type="dxa" w:w="0"/>
            </w:tcMar>
            <w:hMerge w:val="continue"/>
            <w:tcBorders>
              <w:bottom w:spacing="0" w:val="single" w:sz="8.0"/>
            </w:tcBorders>
          </w:tcPr>
          <w:p>
            <w:pPr>
              <w:jc w:val="left"/>
              <w:keepNext/>
              <w:keepLines/>
              <w:spacing w:line="240.0" w:lineRule="auto"/>
              <w:rPr/>
            </w:pPr>
            <w:r>
              <w:rPr/>
            </w:r>
          </w:p>
        </w:tc>
        <w:tc w:gutter="right">
          <w:tcPr>
            <w:tcW w:w="80" w:type="dxa"/>
            <w:tcMar>
              <w:top w:type="dxa" w:w="0"/>
              <w:bottom w:type="dxa" w:w="40"/>
              <w:right w:type="dxa" w:w="0"/>
              <w:left w:type="dxa" w:w="0"/>
            </w:tcMar>
            <w:hMerge w:val="continue"/>
            <w:tcBorders>
              <w:bottom w:spacing="0" w:val="single" w:sz="8.0"/>
            </w:tcBorders>
          </w:tcPr>
          <w:p/>
        </w:tc>
      </w:tr>
      <w:tr>
        <w:trPr>
          <w:trHeight w:val="240" w:hRule="exact"/>
        </w:trPr>
        <w:tc>
          <w:tcPr>
            <w:tcW w:w="7280" w:type="dxa"/>
            <w:tcMar>
              <w:right w:type="dxa" w:w="60"/>
              <w:left w:type="dxa" w:w="60"/>
            </w:tcMar>
            <w:hMerge w:val="restart"/>
            <w:vAlign w:val="bottom"/>
          </w:tcPr>
          <w:p>
            <w:pPr>
              <w:jc w:val="left"/>
              <w:keepNext/>
              <w:keepLines/>
              <w:spacing w:line="240.0" w:lineRule="auto"/>
              <w:rPr/>
            </w:pPr>
            <w:r>
              <w:rPr/>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0"/>
              <w:left w:type="dxa" w:w="0"/>
            </w:tcMar>
            <w:tcBorders>
              <w:bottom w:spacing="0" w:val="single" w:sz="8.0"/>
            </w:tcBorders>
            <w:vAlign w:val="bottom"/>
            <w:hMerge w:val="restart"/>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2014</w:t>
            </w:r>
          </w:p>
        </w:tc>
        <w:tc w:gutter="main">
          <w:tcPr>
            <w:tcW w:w="1210" w:type="dxa"/>
            <w:tcMar>
              <w:top w:type="dxa" w:w="0"/>
              <w:bottom w:type="dxa" w:w="40"/>
              <w:right w:type="dxa" w:w="0"/>
              <w:left w:type="dxa" w:w="0"/>
            </w:tcMar>
            <w:tcBorders>
              <w:bottom w:spacing="0" w:val="single" w:sz="8.0"/>
            </w:tcBorders>
            <w:hMerge w:val="continue"/>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2014</w:t>
            </w:r>
          </w:p>
        </w:tc>
        <w:tc w:gutter="right">
          <w:tcPr>
            <w:tcW w:w="80" w:type="dxa"/>
            <w:tcMar>
              <w:top w:type="dxa" w:w="0"/>
              <w:bottom w:type="dxa" w:w="40"/>
              <w:right w:type="dxa" w:w="0"/>
              <w:left w:type="dxa" w:w="0"/>
            </w:tcMar>
            <w:tcBorders>
              <w:bottom w:spacing="0" w:val="single" w:sz="8.0"/>
            </w:tcBorders>
            <w:hMerge w:val="restart"/>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0"/>
              <w:left w:type="dxa" w:w="0"/>
            </w:tcMar>
            <w:tcBorders>
              <w:bottom w:spacing="0" w:val="single" w:sz="8.0"/>
            </w:tcBorders>
            <w:vAlign w:val="bottom"/>
            <w:hMerge w:val="restart"/>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2013</w:t>
            </w:r>
          </w:p>
        </w:tc>
        <w:tc w:gutter="main">
          <w:tcPr>
            <w:tcW w:w="1210" w:type="dxa"/>
            <w:tcMar>
              <w:top w:type="dxa" w:w="0"/>
              <w:bottom w:type="dxa" w:w="40"/>
              <w:right w:type="dxa" w:w="0"/>
              <w:left w:type="dxa" w:w="0"/>
            </w:tcMar>
            <w:tcBorders>
              <w:bottom w:spacing="0" w:val="single" w:sz="8.0"/>
            </w:tcBorders>
            <w:hMerge w:val="continue"/>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2013</w:t>
            </w:r>
          </w:p>
        </w:tc>
        <w:tc w:gutter="right">
          <w:tcPr>
            <w:tcW w:w="80" w:type="dxa"/>
            <w:tcMar>
              <w:top w:type="dxa" w:w="0"/>
              <w:bottom w:type="dxa" w:w="40"/>
              <w:right w:type="dxa" w:w="0"/>
              <w:left w:type="dxa" w:w="0"/>
            </w:tcMar>
            <w:tcBorders>
              <w:bottom w:spacing="0" w:val="single" w:sz="8.0"/>
            </w:tcBorders>
            <w:hMerge w:val="restart"/>
          </w:tcPr>
          <w:p/>
        </w:tc>
      </w:tr>
      <w:tr>
        <w:trPr>
          <w:trHeight w:val="240" w:hRule="exact"/>
        </w:trPr>
        <w:tc>
          <w:tcPr>
            <w:tcW w:w="7280" w:type="dxa"/>
            <w:tcMar>
              <w:top w:type="dxa" w:w="0"/>
              <w:bottom w:type="dxa" w:w="40"/>
              <w:right w:type="dxa" w:w="60"/>
              <w:left w:type="dxa" w:w="6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Operating activities: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right w:type="dxa" w:w="0"/>
              <w:left w:type="dxa" w:w="0"/>
            </w:tcMar>
            <w:shd w:fill="cceeff"/>
            <w:vAlign w:val="bottom"/>
            <w:hMerge w:val="restart"/>
          </w:tcPr>
          <w:p>
            <w:pPr>
              <w:jc w:val="left"/>
              <w:keepNext/>
              <w:keepLines/>
              <w:spacing w:line="240.0" w:lineRule="auto"/>
              <w:rPr/>
            </w:pPr>
            <w:r>
              <w:rPr/>
            </w:r>
          </w:p>
        </w:tc>
        <w:tc w:gutter="main">
          <w:tcPr>
            <w:tcW w:w="1210" w:type="dxa"/>
            <w:tcMar>
              <w:right w:type="dxa" w:w="0"/>
              <w:left w:type="dxa" w:w="0"/>
            </w:tcMar>
            <w:shd w:fill="cceeff"/>
            <w:hMerge w:val="continue"/>
          </w:tcPr>
          <w:p>
            <w:pPr>
              <w:jc w:val="left"/>
              <w:keepNext/>
              <w:keepLines/>
              <w:spacing w:line="240.0" w:lineRule="auto"/>
              <w:rPr/>
            </w:pPr>
            <w:r>
              <w:rPr/>
            </w:r>
          </w:p>
        </w:tc>
        <w:tc w:gutter="right">
          <w:tcPr>
            <w:tcW w:w="80" w:type="dxa"/>
            <w:tcMar>
              <w:right w:type="dxa" w:w="0"/>
              <w:left w:type="dxa" w:w="0"/>
            </w:tcMar>
            <w:shd w:fill="cceeff"/>
            <w:hMerge w:val="restart"/>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right w:type="dxa" w:w="0"/>
              <w:left w:type="dxa" w:w="0"/>
            </w:tcMar>
            <w:shd w:fill="cceeff"/>
            <w:vAlign w:val="bottom"/>
            <w:hMerge w:val="restart"/>
          </w:tcPr>
          <w:p>
            <w:pPr>
              <w:jc w:val="left"/>
              <w:keepNext/>
              <w:keepLines/>
              <w:spacing w:line="240.0" w:lineRule="auto"/>
              <w:rPr/>
            </w:pPr>
            <w:r>
              <w:rPr/>
            </w:r>
          </w:p>
        </w:tc>
        <w:tc w:gutter="main">
          <w:tcPr>
            <w:tcW w:w="1210" w:type="dxa"/>
            <w:tcMar>
              <w:right w:type="dxa" w:w="0"/>
              <w:left w:type="dxa" w:w="0"/>
            </w:tcMar>
            <w:shd w:fill="cceeff"/>
            <w:hMerge w:val="continue"/>
          </w:tcPr>
          <w:p>
            <w:pPr>
              <w:jc w:val="left"/>
              <w:keepNext/>
              <w:keepLines/>
              <w:spacing w:line="240.0" w:lineRule="auto"/>
              <w:rPr/>
            </w:pPr>
            <w:r>
              <w:rPr/>
            </w:r>
          </w:p>
        </w:tc>
        <w:tc w:gutter="right">
          <w:tcPr>
            <w:tcW w:w="80" w:type="dxa"/>
            <w:tcMar>
              <w:right w:type="dxa" w:w="0"/>
              <w:left w:type="dxa" w:w="0"/>
            </w:tcMar>
            <w:shd w:fill="cceeff"/>
            <w:hMerge w:val="restart"/>
          </w:tcPr>
          <w:p/>
        </w:tc>
      </w:tr>
      <w:tr>
        <w:trPr>
          <w:trHeight w:val="240" w:hRule="exact"/>
        </w:trPr>
        <w:tc>
          <w:tcPr>
            <w:tcW w:w="7280" w:type="dxa"/>
            <w:tcMar>
              <w:top w:type="dxa" w:w="0"/>
              <w:bottom w:type="dxa" w:w="40"/>
              <w:right w:type="dxa" w:w="60"/>
              <w:left w:type="dxa" w:w="42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Net loss</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(3,499</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(1,887</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420"/>
            </w:tcMar>
            <w:shd w:fill="cceeff"/>
            <w:vAlign w:val="bottom"/>
          </w:tcPr>
          <w:p>
            <w:pPr>
              <w:ind w:left="180" w:firstLine="-180"/>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Adjustments to reconcile net loss to cash used in operating activities: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right w:type="dxa" w:w="0"/>
              <w:left w:type="dxa" w:w="0"/>
            </w:tcMar>
            <w:shd w:fill="cceeff"/>
            <w:vAlign w:val="bottom"/>
            <w:hMerge w:val="restart"/>
          </w:tcPr>
          <w:p>
            <w:pPr>
              <w:jc w:val="left"/>
              <w:keepNext/>
              <w:keepLines/>
              <w:spacing w:line="240.0" w:lineRule="auto"/>
              <w:rPr/>
            </w:pPr>
            <w:r>
              <w:rPr/>
            </w:r>
          </w:p>
        </w:tc>
        <w:tc w:gutter="main">
          <w:tcPr>
            <w:tcW w:w="1210" w:type="dxa"/>
            <w:tcMar>
              <w:right w:type="dxa" w:w="0"/>
              <w:left w:type="dxa" w:w="0"/>
            </w:tcMar>
            <w:shd w:fill="cceeff"/>
            <w:hMerge w:val="continue"/>
          </w:tcPr>
          <w:p>
            <w:pPr>
              <w:jc w:val="left"/>
              <w:keepNext/>
              <w:keepLines/>
              <w:spacing w:line="240.0" w:lineRule="auto"/>
              <w:rPr/>
            </w:pPr>
            <w:r>
              <w:rPr/>
            </w:r>
          </w:p>
        </w:tc>
        <w:tc w:gutter="right">
          <w:tcPr>
            <w:tcW w:w="80" w:type="dxa"/>
            <w:tcMar>
              <w:right w:type="dxa" w:w="0"/>
              <w:left w:type="dxa" w:w="0"/>
            </w:tcMar>
            <w:shd w:fill="cceeff"/>
            <w:hMerge w:val="restart"/>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right w:type="dxa" w:w="0"/>
              <w:left w:type="dxa" w:w="0"/>
            </w:tcMar>
            <w:shd w:fill="cceeff"/>
            <w:vAlign w:val="bottom"/>
            <w:hMerge w:val="restart"/>
          </w:tcPr>
          <w:p>
            <w:pPr>
              <w:jc w:val="left"/>
              <w:keepNext/>
              <w:keepLines/>
              <w:spacing w:line="240.0" w:lineRule="auto"/>
              <w:rPr/>
            </w:pPr>
            <w:r>
              <w:rPr/>
            </w:r>
          </w:p>
        </w:tc>
        <w:tc w:gutter="main">
          <w:tcPr>
            <w:tcW w:w="1210" w:type="dxa"/>
            <w:tcMar>
              <w:right w:type="dxa" w:w="0"/>
              <w:left w:type="dxa" w:w="0"/>
            </w:tcMar>
            <w:shd w:fill="cceeff"/>
            <w:hMerge w:val="continue"/>
          </w:tcPr>
          <w:p>
            <w:pPr>
              <w:jc w:val="left"/>
              <w:keepNext/>
              <w:keepLines/>
              <w:spacing w:line="240.0" w:lineRule="auto"/>
              <w:rPr/>
            </w:pPr>
            <w:r>
              <w:rPr/>
            </w:r>
          </w:p>
        </w:tc>
        <w:tc w:gutter="right">
          <w:tcPr>
            <w:tcW w:w="80" w:type="dxa"/>
            <w:tcMar>
              <w:right w:type="dxa" w:w="0"/>
              <w:left w:type="dxa" w:w="0"/>
            </w:tcMar>
            <w:shd w:fill="cceeff"/>
            <w:hMerge w:val="restart"/>
          </w:tcPr>
          <w:p/>
        </w:tc>
      </w:tr>
      <w:tr>
        <w:trPr>
          <w:trHeight w:val="240" w:hRule="exact"/>
        </w:trPr>
        <w:tc>
          <w:tcPr>
            <w:tcW w:w="7280" w:type="dxa"/>
            <w:tcMar>
              <w:top w:type="dxa" w:w="0"/>
              <w:bottom w:type="dxa" w:w="40"/>
              <w:right w:type="dxa" w:w="60"/>
              <w:left w:type="dxa" w:w="78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Bad debt expense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202</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202</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780"/>
            </w:tcMar>
            <w:shd w:fill="cceeff"/>
            <w:vAlign w:val="bottom"/>
          </w:tcPr>
          <w:p>
            <w:pPr>
              <w:ind w:left="180" w:firstLine="-180"/>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Provision for excess and obsolete inventories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424</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424</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363</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363</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78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Depreciation and amortization</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959</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959</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957</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957</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78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Stock-based compensation</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1,040</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1,040</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66</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66</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780"/>
            </w:tcMar>
            <w:vAlign w:val="bottom"/>
          </w:tcPr>
          <w:p>
            <w:pPr>
              <w:ind w:left="180" w:firstLine="-180"/>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Accretion related to warrants and discounts on long-term debt</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507</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507</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780"/>
            </w:tcMar>
            <w:shd w:fill="cceeff"/>
            <w:vAlign w:val="bottom"/>
          </w:tcPr>
          <w:p>
            <w:pPr>
              <w:ind w:left="180" w:firstLine="-180"/>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 in fair value of common stock warrants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277</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277</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78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Deferred income tax expense (benefit)</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92</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92</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78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Loss on disposal of assets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105</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105</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780"/>
            </w:tcMar>
            <w:vAlign w:val="bottom"/>
          </w:tcPr>
          <w:p>
            <w:pPr>
              <w:ind w:left="180" w:firstLine="-180"/>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Unrealized foreign currency loss (gains)</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(53</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(53</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(500</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(500</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420"/>
            </w:tcMar>
            <w:shd w:fill="cceeff"/>
            <w:vAlign w:val="bottom"/>
          </w:tcPr>
          <w:p>
            <w:pPr>
              <w:ind w:left="180" w:firstLine="-180"/>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Changes in operating assets and liabilities: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right w:type="dxa" w:w="0"/>
              <w:left w:type="dxa" w:w="0"/>
            </w:tcMar>
            <w:shd w:fill="cceeff"/>
            <w:vAlign w:val="bottom"/>
            <w:hMerge w:val="restart"/>
          </w:tcPr>
          <w:p>
            <w:pPr>
              <w:jc w:val="left"/>
              <w:keepNext/>
              <w:keepLines/>
              <w:spacing w:line="240.0" w:lineRule="auto"/>
              <w:rPr/>
            </w:pPr>
            <w:r>
              <w:rPr/>
            </w:r>
          </w:p>
        </w:tc>
        <w:tc w:gutter="main">
          <w:tcPr>
            <w:tcW w:w="1210" w:type="dxa"/>
            <w:tcMar>
              <w:right w:type="dxa" w:w="0"/>
              <w:left w:type="dxa" w:w="0"/>
            </w:tcMar>
            <w:shd w:fill="cceeff"/>
            <w:hMerge w:val="continue"/>
          </w:tcPr>
          <w:p>
            <w:pPr>
              <w:jc w:val="left"/>
              <w:keepNext/>
              <w:keepLines/>
              <w:spacing w:line="240.0" w:lineRule="auto"/>
              <w:rPr/>
            </w:pPr>
            <w:r>
              <w:rPr/>
            </w:r>
          </w:p>
        </w:tc>
        <w:tc w:gutter="right">
          <w:tcPr>
            <w:tcW w:w="80" w:type="dxa"/>
            <w:tcMar>
              <w:right w:type="dxa" w:w="0"/>
              <w:left w:type="dxa" w:w="0"/>
            </w:tcMar>
            <w:shd w:fill="cceeff"/>
            <w:hMerge w:val="restart"/>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right w:type="dxa" w:w="0"/>
              <w:left w:type="dxa" w:w="0"/>
            </w:tcMar>
            <w:shd w:fill="cceeff"/>
            <w:vAlign w:val="bottom"/>
            <w:hMerge w:val="restart"/>
          </w:tcPr>
          <w:p>
            <w:pPr>
              <w:jc w:val="left"/>
              <w:keepNext/>
              <w:keepLines/>
              <w:spacing w:line="240.0" w:lineRule="auto"/>
              <w:rPr/>
            </w:pPr>
            <w:r>
              <w:rPr/>
            </w:r>
          </w:p>
        </w:tc>
        <w:tc w:gutter="main">
          <w:tcPr>
            <w:tcW w:w="1210" w:type="dxa"/>
            <w:tcMar>
              <w:right w:type="dxa" w:w="0"/>
              <w:left w:type="dxa" w:w="0"/>
            </w:tcMar>
            <w:shd w:fill="cceeff"/>
            <w:hMerge w:val="continue"/>
          </w:tcPr>
          <w:p>
            <w:pPr>
              <w:jc w:val="left"/>
              <w:keepNext/>
              <w:keepLines/>
              <w:spacing w:line="240.0" w:lineRule="auto"/>
              <w:rPr/>
            </w:pPr>
            <w:r>
              <w:rPr/>
            </w:r>
          </w:p>
        </w:tc>
        <w:tc w:gutter="right">
          <w:tcPr>
            <w:tcW w:w="80" w:type="dxa"/>
            <w:tcMar>
              <w:right w:type="dxa" w:w="0"/>
              <w:left w:type="dxa" w:w="0"/>
            </w:tcMar>
            <w:shd w:fill="cceeff"/>
            <w:hMerge w:val="restart"/>
          </w:tcPr>
          <w:p/>
        </w:tc>
      </w:tr>
      <w:tr>
        <w:trPr>
          <w:trHeight w:val="240" w:hRule="exact"/>
        </w:trPr>
        <w:tc>
          <w:tcPr>
            <w:tcW w:w="7280" w:type="dxa"/>
            <w:tcMar>
              <w:top w:type="dxa" w:w="0"/>
              <w:bottom w:type="dxa" w:w="40"/>
              <w:right w:type="dxa" w:w="60"/>
              <w:left w:type="dxa" w:w="78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Accounts receivable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(316</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(316</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(2,439</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(2,439</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780"/>
            </w:tcMar>
            <w:shd w:fill="cceeff"/>
            <w:vAlign w:val="bottom"/>
          </w:tcPr>
          <w:p>
            <w:pPr>
              <w:ind w:left="180" w:firstLine="-180"/>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Prepaid expenses and other current assets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(1,138</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(1,138</w:t>
            </w:r>
          </w:p>
        </w:tc>
        <w:tc w:gutter="right">
          <w:tcPr>
            <w:tcW w:w="80" w:type="dxa"/>
            <w:tcMar>
              <w:top w:type="dxa" w:w="0"/>
              <w:bottom w:type="dxa" w:w="40"/>
              <w:right w:type="dxa" w:w="2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(377</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(377</w:t>
            </w:r>
          </w:p>
        </w:tc>
        <w:tc w:gutter="right">
          <w:tcPr>
            <w:tcW w:w="80" w:type="dxa"/>
            <w:tcMar>
              <w:top w:type="dxa" w:w="0"/>
              <w:bottom w:type="dxa" w:w="40"/>
              <w:right w:type="dxa" w:w="2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78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Inventory</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(3,523</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(3,523</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(639</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(639</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78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Other assets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29</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29</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78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Accounts payable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1,819</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1,819</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(1,944</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(1,944</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78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Accrued expenses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(679</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(679</w:t>
            </w:r>
          </w:p>
        </w:tc>
        <w:tc w:gutter="right">
          <w:tcPr>
            <w:tcW w:w="80" w:type="dxa"/>
            <w:tcMar>
              <w:top w:type="dxa" w:w="0"/>
              <w:bottom w:type="dxa" w:w="40"/>
              <w:right w:type="dxa" w:w="2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2,103</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2,103</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78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Other long-term liabilities</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tcBorders>
              <w:bottom w:spacing="0" w:val="single" w:sz="8.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Mar>
              <w:top w:type="dxa" w:w="0"/>
              <w:bottom w:type="dxa" w:w="40"/>
              <w:right w:type="dxa" w:w="20"/>
              <w:left w:type="dxa" w:w="0"/>
            </w:tcMar>
            <w:tcBorders>
              <w:bottom w:spacing="0" w:val="single" w:sz="8.0"/>
            </w:tcBorders>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right">
          <w:tcPr>
            <w:tcW w:w="80" w:type="dxa"/>
            <w:tcMar>
              <w:top w:type="dxa" w:w="0"/>
              <w:bottom w:type="dxa" w:w="40"/>
              <w:right w:type="dxa" w:w="20"/>
              <w:left w:type="dxa" w:w="0"/>
            </w:tcMar>
            <w:tcBorders>
              <w:bottom w:spacing="0" w:val="single" w:sz="8.0"/>
            </w:tcBorders>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tcBorders>
              <w:bottom w:spacing="0" w:val="single" w:sz="8.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340</w:t>
            </w:r>
          </w:p>
        </w:tc>
        <w:tc w:gutter="main">
          <w:tcPr>
            <w:tcMar>
              <w:top w:type="dxa" w:w="0"/>
              <w:bottom w:type="dxa" w:w="40"/>
              <w:right w:type="dxa" w:w="20"/>
              <w:left w:type="dxa" w:w="0"/>
            </w:tcMar>
            <w:tcBorders>
              <w:bottom w:spacing="0" w:val="single" w:sz="8.0"/>
            </w:tcBorders>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340</w:t>
            </w:r>
          </w:p>
        </w:tc>
        <w:tc w:gutter="right">
          <w:tcPr>
            <w:tcW w:w="80" w:type="dxa"/>
            <w:tcMar>
              <w:top w:type="dxa" w:w="0"/>
              <w:bottom w:type="dxa" w:w="40"/>
              <w:right w:type="dxa" w:w="20"/>
              <w:left w:type="dxa" w:w="0"/>
            </w:tcMar>
            <w:tcBorders>
              <w:bottom w:spacing="0" w:val="single" w:sz="8.0"/>
            </w:tcBorders>
          </w:tcPr>
          <w:p/>
        </w:tc>
      </w:tr>
      <w:tr>
        <w:trPr>
          <w:trHeight w:val="240" w:hRule="exact"/>
        </w:trPr>
        <w:tc>
          <w:tcPr>
            <w:tcW w:w="7280" w:type="dxa"/>
            <w:tcMar>
              <w:top w:type="dxa" w:w="0"/>
              <w:bottom w:type="dxa" w:w="40"/>
              <w:right w:type="dxa" w:w="60"/>
              <w:left w:type="dxa" w:w="1140"/>
            </w:tcMar>
            <w:shd w:fill="cceeff"/>
            <w:vAlign w:val="bottom"/>
          </w:tcPr>
          <w:p>
            <w:pPr>
              <w:ind w:left="180" w:firstLine="-180"/>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Net cash used in operating activities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(4,558</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(4,558</w:t>
            </w:r>
          </w:p>
        </w:tc>
        <w:tc w:gutter="right">
          <w:tcPr>
            <w:tcW w:w="80" w:type="dxa"/>
            <w:tcMar>
              <w:top w:type="dxa" w:w="0"/>
              <w:bottom w:type="dxa" w:w="40"/>
              <w:right w:type="dxa" w:w="20"/>
              <w:left w:type="dxa" w:w="0"/>
            </w:tcMar>
            <w:tcBorders>
              <w:top w:spacing="0" w:val="single" w:sz="8.0" w:space="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(3,129</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(3,129</w:t>
            </w:r>
          </w:p>
        </w:tc>
        <w:tc w:gutter="right">
          <w:tcPr>
            <w:tcW w:w="80" w:type="dxa"/>
            <w:tcMar>
              <w:top w:type="dxa" w:w="0"/>
              <w:bottom w:type="dxa" w:w="40"/>
              <w:right w:type="dxa" w:w="20"/>
              <w:left w:type="dxa" w:w="0"/>
            </w:tcMar>
            <w:tcBorders>
              <w:top w:spacing="0" w:val="single" w:sz="8.0" w:space="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6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Investing activities:</w:t>
            </w:r>
          </w:p>
        </w:tc>
        <w:tc>
          <w:tcPr>
            <w:tcW w:w="80" w:type="dxa"/>
            <w:tcMar>
              <w:right w:type="dxa" w:w="0"/>
              <w:left w:type="dxa" w:w="0"/>
            </w:tcMar>
            <w:vAlign w:val="bottom"/>
          </w:tcPr>
          <w:p>
            <w:pPr>
              <w:jc w:val="left"/>
              <w:keepNext/>
              <w:keepLines/>
              <w:spacing w:line="240.0" w:lineRule="auto"/>
              <w:rPr/>
            </w:pPr>
            <w:r>
              <w:rPr/>
            </w:r>
          </w:p>
        </w:tc>
        <w:tc w:gutter="left">
          <w:tcPr>
            <w:tcW w:w="110" w:type="dxa"/>
            <w:tcMar>
              <w:right w:type="dxa" w:w="0"/>
              <w:left w:type="dxa" w:w="0"/>
            </w:tcMar>
            <w:vAlign w:val="bottom"/>
            <w:hMerge w:val="restart"/>
          </w:tcPr>
          <w:p>
            <w:pPr>
              <w:jc w:val="left"/>
              <w:keepNext/>
              <w:keepLines/>
              <w:spacing w:line="240.0" w:lineRule="auto"/>
              <w:rPr/>
            </w:pPr>
            <w:r>
              <w:rPr/>
            </w:r>
          </w:p>
        </w:tc>
        <w:tc w:gutter="main">
          <w:tcPr>
            <w:tcW w:w="1210" w:type="dxa"/>
            <w:tcMar>
              <w:right w:type="dxa" w:w="0"/>
              <w:left w:type="dxa" w:w="0"/>
            </w:tcMar>
            <w:hMerge w:val="continue"/>
          </w:tcPr>
          <w:p>
            <w:pPr>
              <w:jc w:val="left"/>
              <w:keepNext/>
              <w:keepLines/>
              <w:spacing w:line="240.0" w:lineRule="auto"/>
              <w:rPr/>
            </w:pPr>
            <w:r>
              <w:rPr/>
            </w:r>
          </w:p>
        </w:tc>
        <w:tc w:gutter="right">
          <w:tcPr>
            <w:tcW w:w="80" w:type="dxa"/>
            <w:tcMar>
              <w:right w:type="dxa" w:w="0"/>
              <w:left w:type="dxa" w:w="0"/>
            </w:tcMar>
            <w:hMerge w:val="restart"/>
          </w:tcPr>
          <w:p/>
        </w:tc>
        <w:tc>
          <w:tcPr>
            <w:tcW w:w="80" w:type="dxa"/>
            <w:tcMar>
              <w:right w:type="dxa" w:w="0"/>
              <w:left w:type="dxa" w:w="0"/>
            </w:tcMar>
            <w:vAlign w:val="bottom"/>
          </w:tcPr>
          <w:p>
            <w:pPr>
              <w:jc w:val="left"/>
              <w:keepNext/>
              <w:keepLines/>
              <w:spacing w:line="240.0" w:lineRule="auto"/>
              <w:rPr/>
            </w:pPr>
            <w:r>
              <w:rPr/>
            </w:r>
          </w:p>
        </w:tc>
        <w:tc w:gutter="left">
          <w:tcPr>
            <w:tcW w:w="110" w:type="dxa"/>
            <w:tcMar>
              <w:right w:type="dxa" w:w="0"/>
              <w:left w:type="dxa" w:w="0"/>
            </w:tcMar>
            <w:vAlign w:val="bottom"/>
            <w:hMerge w:val="restart"/>
          </w:tcPr>
          <w:p>
            <w:pPr>
              <w:jc w:val="left"/>
              <w:keepNext/>
              <w:keepLines/>
              <w:spacing w:line="240.0" w:lineRule="auto"/>
              <w:rPr/>
            </w:pPr>
            <w:r>
              <w:rPr/>
            </w:r>
          </w:p>
        </w:tc>
        <w:tc w:gutter="main">
          <w:tcPr>
            <w:tcW w:w="1210" w:type="dxa"/>
            <w:tcMar>
              <w:right w:type="dxa" w:w="0"/>
              <w:left w:type="dxa" w:w="0"/>
            </w:tcMar>
            <w:hMerge w:val="continue"/>
          </w:tcPr>
          <w:p>
            <w:pPr>
              <w:jc w:val="left"/>
              <w:keepNext/>
              <w:keepLines/>
              <w:spacing w:line="240.0" w:lineRule="auto"/>
              <w:rPr/>
            </w:pPr>
            <w:r>
              <w:rPr/>
            </w:r>
          </w:p>
        </w:tc>
        <w:tc w:gutter="right">
          <w:tcPr>
            <w:tcW w:w="80" w:type="dxa"/>
            <w:tcMar>
              <w:right w:type="dxa" w:w="0"/>
              <w:left w:type="dxa" w:w="0"/>
            </w:tcMar>
            <w:hMerge w:val="restart"/>
          </w:tcPr>
          <w:p/>
        </w:tc>
      </w:tr>
      <w:tr>
        <w:trPr>
          <w:trHeight w:val="240" w:hRule="exact"/>
        </w:trPr>
        <w:tc>
          <w:tcPr>
            <w:tcW w:w="7280" w:type="dxa"/>
            <w:tcMar>
              <w:top w:type="dxa" w:w="0"/>
              <w:bottom w:type="dxa" w:w="40"/>
              <w:right w:type="dxa" w:w="60"/>
              <w:left w:type="dxa" w:w="420"/>
            </w:tcMar>
            <w:shd w:fill="cceeff"/>
            <w:vAlign w:val="bottom"/>
          </w:tcPr>
          <w:p>
            <w:pPr>
              <w:ind w:left="180" w:firstLine="-180"/>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Proceeds from sale of property and equipment</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23</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23</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42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Purchase of intangible assets</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(179</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(179</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(94</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(94</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42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Purchase of property and equipment</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bottom w:spacing="0" w:val="single" w:sz="8.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(1,487</w:t>
            </w:r>
          </w:p>
        </w:tc>
        <w:tc w:gutter="main">
          <w:tcPr>
            <w:tcMar>
              <w:top w:type="dxa" w:w="0"/>
              <w:bottom w:type="dxa" w:w="40"/>
              <w:right w:type="dxa" w:w="20"/>
              <w:left w:type="dxa" w:w="0"/>
            </w:tcMar>
            <w:tcBorders>
              <w:bottom w:spacing="0" w:val="single" w:sz="8.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(1,487</w:t>
            </w:r>
          </w:p>
        </w:tc>
        <w:tc w:gutter="right">
          <w:tcPr>
            <w:tcW w:w="80" w:type="dxa"/>
            <w:tcMar>
              <w:top w:type="dxa" w:w="0"/>
              <w:bottom w:type="dxa" w:w="40"/>
              <w:right w:type="dxa" w:w="20"/>
              <w:left w:type="dxa" w:w="0"/>
            </w:tcMar>
            <w:tcBorders>
              <w:bottom w:spacing="0" w:val="single" w:sz="8.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bottom w:spacing="0" w:val="single" w:sz="8.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(613</w:t>
            </w:r>
          </w:p>
        </w:tc>
        <w:tc w:gutter="main">
          <w:tcPr>
            <w:tcMar>
              <w:top w:type="dxa" w:w="0"/>
              <w:bottom w:type="dxa" w:w="40"/>
              <w:right w:type="dxa" w:w="20"/>
              <w:left w:type="dxa" w:w="0"/>
            </w:tcMar>
            <w:tcBorders>
              <w:bottom w:spacing="0" w:val="single" w:sz="8.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(613</w:t>
            </w:r>
          </w:p>
        </w:tc>
        <w:tc w:gutter="right">
          <w:tcPr>
            <w:tcW w:w="80" w:type="dxa"/>
            <w:tcMar>
              <w:top w:type="dxa" w:w="0"/>
              <w:bottom w:type="dxa" w:w="40"/>
              <w:right w:type="dxa" w:w="20"/>
              <w:left w:type="dxa" w:w="0"/>
            </w:tcMar>
            <w:tcBorders>
              <w:bottom w:spacing="0" w:val="single" w:sz="8.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1140"/>
            </w:tcMar>
            <w:vAlign w:val="bottom"/>
          </w:tcPr>
          <w:p>
            <w:pPr>
              <w:ind w:left="180" w:firstLine="-180"/>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Net cash used in investing activities</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(1,666</w:t>
            </w:r>
          </w:p>
        </w:tc>
        <w:tc w:gutter="main">
          <w:tcPr>
            <w:tcMar>
              <w:top w:type="dxa" w:w="0"/>
              <w:bottom w:type="dxa" w:w="40"/>
              <w:right w:type="dxa" w:w="20"/>
              <w:left w:type="dxa" w:w="0"/>
            </w:tcMar>
            <w:tcBorders>
              <w:top w:spacing="0" w:val="single" w:sz="8.0" w:space="0"/>
            </w:tcBorders>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(1,666</w:t>
            </w:r>
          </w:p>
        </w:tc>
        <w:tc w:gutter="right">
          <w:tcPr>
            <w:tcW w:w="80" w:type="dxa"/>
            <w:tcMar>
              <w:top w:type="dxa" w:w="0"/>
              <w:bottom w:type="dxa" w:w="40"/>
              <w:right w:type="dxa" w:w="20"/>
              <w:left w:type="dxa" w:w="0"/>
            </w:tcMar>
            <w:tcBorders>
              <w:top w:spacing="0" w:val="single" w:sz="8.0" w:space="0"/>
            </w:tcBorders>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(684</w:t>
            </w:r>
          </w:p>
        </w:tc>
        <w:tc w:gutter="main">
          <w:tcPr>
            <w:tcMar>
              <w:top w:type="dxa" w:w="0"/>
              <w:bottom w:type="dxa" w:w="40"/>
              <w:right w:type="dxa" w:w="20"/>
              <w:left w:type="dxa" w:w="0"/>
            </w:tcMar>
            <w:tcBorders>
              <w:top w:spacing="0" w:val="single" w:sz="8.0" w:space="0"/>
            </w:tcBorders>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(684</w:t>
            </w:r>
          </w:p>
        </w:tc>
        <w:tc w:gutter="right">
          <w:tcPr>
            <w:tcW w:w="80" w:type="dxa"/>
            <w:tcMar>
              <w:top w:type="dxa" w:w="0"/>
              <w:bottom w:type="dxa" w:w="40"/>
              <w:right w:type="dxa" w:w="20"/>
              <w:left w:type="dxa" w:w="0"/>
            </w:tcMar>
            <w:tcBorders>
              <w:top w:spacing="0" w:val="single" w:sz="8.0" w:space="0"/>
            </w:tcBorders>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6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Financing activities: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right w:type="dxa" w:w="0"/>
              <w:left w:type="dxa" w:w="0"/>
            </w:tcMar>
            <w:shd w:fill="cceeff"/>
            <w:vAlign w:val="bottom"/>
            <w:hMerge w:val="restart"/>
          </w:tcPr>
          <w:p>
            <w:pPr>
              <w:jc w:val="left"/>
              <w:keepNext/>
              <w:keepLines/>
              <w:spacing w:line="240.0" w:lineRule="auto"/>
              <w:rPr/>
            </w:pPr>
            <w:r>
              <w:rPr/>
            </w:r>
          </w:p>
        </w:tc>
        <w:tc w:gutter="main">
          <w:tcPr>
            <w:tcW w:w="1210" w:type="dxa"/>
            <w:tcMar>
              <w:right w:type="dxa" w:w="0"/>
              <w:left w:type="dxa" w:w="0"/>
            </w:tcMar>
            <w:shd w:fill="cceeff"/>
            <w:hMerge w:val="continue"/>
          </w:tcPr>
          <w:p>
            <w:pPr>
              <w:jc w:val="left"/>
              <w:keepNext/>
              <w:keepLines/>
              <w:spacing w:line="240.0" w:lineRule="auto"/>
              <w:rPr/>
            </w:pPr>
            <w:r>
              <w:rPr/>
            </w:r>
          </w:p>
        </w:tc>
        <w:tc w:gutter="right">
          <w:tcPr>
            <w:tcW w:w="80" w:type="dxa"/>
            <w:tcMar>
              <w:right w:type="dxa" w:w="0"/>
              <w:left w:type="dxa" w:w="0"/>
            </w:tcMar>
            <w:shd w:fill="cceeff"/>
            <w:hMerge w:val="restart"/>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right w:type="dxa" w:w="0"/>
              <w:left w:type="dxa" w:w="0"/>
            </w:tcMar>
            <w:shd w:fill="cceeff"/>
            <w:vAlign w:val="bottom"/>
            <w:hMerge w:val="restart"/>
          </w:tcPr>
          <w:p>
            <w:pPr>
              <w:jc w:val="left"/>
              <w:keepNext/>
              <w:keepLines/>
              <w:spacing w:line="240.0" w:lineRule="auto"/>
              <w:rPr/>
            </w:pPr>
            <w:r>
              <w:rPr/>
            </w:r>
          </w:p>
        </w:tc>
        <w:tc w:gutter="main">
          <w:tcPr>
            <w:tcW w:w="1210" w:type="dxa"/>
            <w:tcMar>
              <w:right w:type="dxa" w:w="0"/>
              <w:left w:type="dxa" w:w="0"/>
            </w:tcMar>
            <w:shd w:fill="cceeff"/>
            <w:hMerge w:val="continue"/>
          </w:tcPr>
          <w:p>
            <w:pPr>
              <w:jc w:val="left"/>
              <w:keepNext/>
              <w:keepLines/>
              <w:spacing w:line="240.0" w:lineRule="auto"/>
              <w:rPr/>
            </w:pPr>
            <w:r>
              <w:rPr/>
            </w:r>
          </w:p>
        </w:tc>
        <w:tc w:gutter="right">
          <w:tcPr>
            <w:tcW w:w="80" w:type="dxa"/>
            <w:tcMar>
              <w:right w:type="dxa" w:w="0"/>
              <w:left w:type="dxa" w:w="0"/>
            </w:tcMar>
            <w:shd w:fill="cceeff"/>
            <w:hMerge w:val="restart"/>
          </w:tcPr>
          <w:p/>
        </w:tc>
      </w:tr>
      <w:tr>
        <w:trPr>
          <w:trHeight w:val="240" w:hRule="exact"/>
        </w:trPr>
        <w:tc>
          <w:tcPr>
            <w:tcW w:w="7280" w:type="dxa"/>
            <w:tcMar>
              <w:top w:type="dxa" w:w="0"/>
              <w:bottom w:type="dxa" w:w="40"/>
              <w:right w:type="dxa" w:w="60"/>
              <w:left w:type="dxa" w:w="42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Proceeds from Employee Stock Purchase Plan</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1,354</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1,354</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42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Exercise of stock options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211</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211</w:t>
            </w:r>
          </w:p>
        </w:tc>
        <w:tc w:gutter="right">
          <w:tcPr>
            <w:tcW w:w="8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162</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162</w:t>
            </w:r>
          </w:p>
        </w:tc>
        <w:tc w:gutter="right">
          <w:tcPr>
            <w:tcW w:w="8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42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Payments on capital leases</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(13</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(13</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(8</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(8</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420"/>
            </w:tcMar>
            <w:shd w:fill="cceeff"/>
            <w:vAlign w:val="bottom"/>
          </w:tcPr>
          <w:p>
            <w:pPr>
              <w:ind w:left="180" w:firstLine="-180"/>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Net proceeds (payments) on short-term financings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(1,652</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(1,652</w:t>
            </w:r>
          </w:p>
        </w:tc>
        <w:tc w:gutter="right">
          <w:tcPr>
            <w:tcW w:w="80" w:type="dxa"/>
            <w:tcMar>
              <w:top w:type="dxa" w:w="0"/>
              <w:bottom w:type="dxa" w:w="40"/>
              <w:right w:type="dxa" w:w="2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w:t>
            </w:r>
          </w:p>
        </w:tc>
        <w:tc w:gutter="right">
          <w:tcPr>
            <w:tcW w:w="80" w:type="dxa"/>
            <w:tcMar>
              <w:top w:type="dxa" w:w="0"/>
              <w:bottom w:type="dxa" w:w="40"/>
              <w:right w:type="dxa" w:w="2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42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Payments on long-term debt</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(470</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(470</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(468</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(468</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1140"/>
            </w:tcMar>
            <w:shd w:fill="cceeff"/>
            <w:vAlign w:val="bottom"/>
          </w:tcPr>
          <w:p>
            <w:pPr>
              <w:ind w:left="180" w:firstLine="-180"/>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Net cash used in financing activities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(570</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(570</w:t>
            </w:r>
          </w:p>
        </w:tc>
        <w:tc w:gutter="right">
          <w:tcPr>
            <w:tcW w:w="80" w:type="dxa"/>
            <w:tcMar>
              <w:top w:type="dxa" w:w="0"/>
              <w:bottom w:type="dxa" w:w="40"/>
              <w:right w:type="dxa" w:w="20"/>
              <w:left w:type="dxa" w:w="0"/>
            </w:tcMar>
            <w:tcBorders>
              <w:top w:spacing="0" w:val="single" w:sz="8.0" w:space="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(323</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(323</w:t>
            </w:r>
          </w:p>
        </w:tc>
        <w:tc w:gutter="right">
          <w:tcPr>
            <w:tcW w:w="80" w:type="dxa"/>
            <w:tcMar>
              <w:top w:type="dxa" w:w="0"/>
              <w:bottom w:type="dxa" w:w="40"/>
              <w:right w:type="dxa" w:w="20"/>
              <w:left w:type="dxa" w:w="0"/>
            </w:tcMar>
            <w:tcBorders>
              <w:top w:spacing="0" w:val="single" w:sz="8.0" w:space="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6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Effect of exchange rate on cash</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(44</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(44</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(32</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(32</w:t>
            </w:r>
          </w:p>
        </w:tc>
        <w:tc w:gutter="right">
          <w:tcPr>
            <w:tcW w:w="80" w:type="dxa"/>
            <w:tcMar>
              <w:top w:type="dxa" w:w="0"/>
              <w:bottom w:type="dxa" w:w="40"/>
              <w:right w:type="dxa" w:w="20"/>
              <w:left w:type="dxa" w:w="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1140"/>
            </w:tcMar>
            <w:shd w:fill="cceeff"/>
            <w:vAlign w:val="bottom"/>
          </w:tcPr>
          <w:p>
            <w:pPr>
              <w:ind w:left="180" w:firstLine="-180"/>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Net change in cash and cash equivalents</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(6,838</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(6,838</w:t>
            </w:r>
          </w:p>
        </w:tc>
        <w:tc w:gutter="right">
          <w:tcPr>
            <w:tcW w:w="80" w:type="dxa"/>
            <w:tcMar>
              <w:top w:type="dxa" w:w="0"/>
              <w:bottom w:type="dxa" w:w="40"/>
              <w:right w:type="dxa" w:w="20"/>
              <w:left w:type="dxa" w:w="0"/>
            </w:tcMar>
            <w:tcBorders>
              <w:top w:spacing="0" w:val="single" w:sz="8.0" w:space="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tcBorders>
              <w:top w:spacing="0" w:val="single" w:sz="8.0" w:space="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(4,168</w:t>
            </w:r>
          </w:p>
        </w:tc>
        <w:tc w:gutter="main">
          <w:tcPr>
            <w:tcMar>
              <w:top w:type="dxa" w:w="0"/>
              <w:bottom w:type="dxa" w:w="40"/>
              <w:right w:type="dxa" w:w="20"/>
              <w:left w:type="dxa" w:w="0"/>
            </w:tcMar>
            <w:tcBorders>
              <w:top w:spacing="0" w:val="single" w:sz="8.0" w:space="0"/>
            </w:tcBorders>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(4,168</w:t>
            </w:r>
          </w:p>
        </w:tc>
        <w:tc w:gutter="right">
          <w:tcPr>
            <w:tcW w:w="80" w:type="dxa"/>
            <w:tcMar>
              <w:top w:type="dxa" w:w="0"/>
              <w:bottom w:type="dxa" w:w="40"/>
              <w:right w:type="dxa" w:w="20"/>
              <w:left w:type="dxa" w:w="0"/>
            </w:tcMar>
            <w:tcBorders>
              <w:top w:spacing="0" w:val="single" w:sz="8.0" w:space="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6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Cash and cash equivalents, beginning of period</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56,678</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56,678</w:t>
            </w:r>
          </w:p>
        </w:tc>
        <w:tc w:gutter="right">
          <w:tcPr>
            <w:tcW w:w="80" w:type="dxa"/>
            <w:tcMar>
              <w:top w:type="dxa" w:w="0"/>
              <w:bottom w:type="dxa" w:w="40"/>
              <w:right w:type="dxa" w:w="20"/>
              <w:left w:type="dxa" w:w="0"/>
            </w:tcMar>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19,135</w:t>
            </w:r>
          </w:p>
        </w:tc>
        <w:tc w:gutter="main">
          <w:tcPr>
            <w:tcMar>
              <w:top w:type="dxa" w:w="0"/>
              <w:bottom w:type="dxa" w:w="40"/>
              <w:right w:type="dxa" w:w="20"/>
              <w:left w:type="dxa" w:w="0"/>
            </w:tcMar>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19,135</w:t>
            </w:r>
          </w:p>
        </w:tc>
        <w:tc w:gutter="right">
          <w:tcPr>
            <w:tcW w:w="80" w:type="dxa"/>
            <w:tcMar>
              <w:top w:type="dxa" w:w="0"/>
              <w:bottom w:type="dxa" w:w="40"/>
              <w:right w:type="dxa" w:w="20"/>
              <w:left w:type="dxa" w:w="0"/>
            </w:tcMar>
          </w:tcPr>
          <w:p/>
        </w:tc>
      </w:tr>
      <w:tr>
        <w:trPr>
          <w:trHeight w:val="240" w:hRule="exact"/>
        </w:trPr>
        <w:tc>
          <w:tcPr>
            <w:tcW w:w="7280" w:type="dxa"/>
            <w:tcMar>
              <w:top w:type="dxa" w:w="0"/>
              <w:bottom w:type="dxa" w:w="40"/>
              <w:right w:type="dxa" w:w="60"/>
              <w:left w:type="dxa" w:w="60"/>
            </w:tcMar>
            <w:shd w:fill="cceeff"/>
            <w:vAlign w:val="bottom"/>
          </w:tcPr>
          <w:p>
            <w:pPr>
              <w:jc w:val="lef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 Cash and cash equivalents, end of period</w:t>
            </w:r>
          </w:p>
        </w:tc>
        <w:tc>
          <w:tcPr>
            <w:tcW w:w="80" w:type="dxa"/>
            <w:tcMar>
              <w:right w:type="dxa" w:w="0"/>
              <w:left w:type="dxa" w:w="0"/>
            </w:tcMar>
            <w:shd w:fill="cceeff"/>
            <w:vAlign w:val="bottom"/>
          </w:tcPr>
          <w:p>
            <w:pPr>
              <w:jc w:val="left"/>
              <w:keepLines/>
              <w:spacing w:line="240.0" w:lineRule="auto"/>
              <w:rPr/>
            </w:pPr>
            <w:r>
              <w:rPr/>
            </w:r>
          </w:p>
        </w:tc>
        <w:tc w:gutter="left">
          <w:tcPr>
            <w:tcW w:w="110" w:type="dxa"/>
            <w:tcMar>
              <w:top w:type="dxa" w:w="0"/>
              <w:bottom w:type="dxa" w:w="40"/>
              <w:right w:type="dxa" w:w="0"/>
              <w:left w:type="dxa" w:w="0"/>
            </w:tcMar>
            <w:tcBorders>
              <w:top w:spacing="0" w:val="single" w:sz="8.0" w:space="0"/>
              <w:bottom w:spacing="0" w:val="double" w:sz="4.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tcBorders>
              <w:top w:spacing="0" w:val="single" w:sz="8.0" w:space="0"/>
              <w:bottom w:spacing="0" w:val="double" w:sz="4.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49,840</w:t>
            </w:r>
          </w:p>
        </w:tc>
        <w:tc w:gutter="right">
          <w:tcPr>
            <w:tcW w:w="80" w:type="dxa"/>
            <w:tcMar>
              <w:top w:type="dxa" w:w="0"/>
              <w:bottom w:type="dxa" w:w="40"/>
              <w:right w:type="dxa" w:w="20"/>
              <w:left w:type="dxa" w:w="0"/>
            </w:tcMar>
            <w:tcBorders>
              <w:top w:spacing="0" w:val="single" w:sz="8.0" w:space="0"/>
              <w:bottom w:spacing="0" w:val="double" w:sz="4.0"/>
            </w:tcBorders>
            <w:shd w:fill="cceeff"/>
          </w:tcPr>
          <w:p/>
        </w:tc>
        <w:tc>
          <w:tcPr>
            <w:tcW w:w="80" w:type="dxa"/>
            <w:tcMar>
              <w:right w:type="dxa" w:w="0"/>
              <w:left w:type="dxa" w:w="0"/>
            </w:tcMar>
            <w:shd w:fill="cceeff"/>
            <w:vAlign w:val="bottom"/>
          </w:tcPr>
          <w:p>
            <w:pPr>
              <w:jc w:val="left"/>
              <w:keepLines/>
              <w:spacing w:line="240.0" w:lineRule="auto"/>
              <w:rPr/>
            </w:pPr>
            <w:r>
              <w:rPr/>
            </w:r>
          </w:p>
        </w:tc>
        <w:tc w:gutter="left">
          <w:tcPr>
            <w:tcW w:w="110" w:type="dxa"/>
            <w:tcMar>
              <w:top w:type="dxa" w:w="0"/>
              <w:bottom w:type="dxa" w:w="40"/>
              <w:right w:type="dxa" w:w="0"/>
              <w:left w:type="dxa" w:w="0"/>
            </w:tcMar>
            <w:tcBorders>
              <w:top w:spacing="0" w:val="single" w:sz="8.0" w:space="0"/>
              <w:bottom w:spacing="0" w:val="double" w:sz="4.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210" w:type="dxa"/>
            <w:tcMar>
              <w:top w:type="dxa" w:w="0"/>
              <w:bottom w:type="dxa" w:w="40"/>
              <w:right w:type="dxa" w:w="20"/>
              <w:left w:type="dxa" w:w="0"/>
            </w:tcMar>
            <w:tcBorders>
              <w:top w:spacing="0" w:val="single" w:sz="8.0" w:space="0"/>
              <w:bottom w:spacing="0" w:val="double" w:sz="4.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14,967</w:t>
            </w:r>
          </w:p>
        </w:tc>
        <w:tc w:gutter="right">
          <w:tcPr>
            <w:tcW w:w="80" w:type="dxa"/>
            <w:tcMar>
              <w:top w:type="dxa" w:w="0"/>
              <w:bottom w:type="dxa" w:w="40"/>
              <w:right w:type="dxa" w:w="20"/>
              <w:left w:type="dxa" w:w="0"/>
            </w:tcMar>
            <w:tcBorders>
              <w:top w:spacing="0" w:val="single" w:sz="8.0" w:space="0"/>
              <w:bottom w:spacing="0" w:val="double" w:sz="4.0"/>
            </w:tcBorders>
            <w:shd w:fill="cceeff"/>
          </w:tcPr>
          <w:p/>
        </w:tc>
      </w:tr>
    </w:tbl>
    <w:p>
      <w:pPr>
        <w:jc w:val="center"/>
        <w:keepNext/>
        <w:keepLines/>
        <w:spacing w:line="220.0" w:lineRule="exact"/>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5" w:type="default"/>
        </w:sectPr>
      </w:pPr>
    </w:p>
    <w:p>
      <w:pPr>
        <w:jc w:val="center"/>
        <w:spacing w:line="288.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LDR HOLDING CORPORATION AND SUBSIDIARIES</w:t>
      </w:r>
      <w:bookmarkStart w:id="8634" w:name="Section0F45C8CE61C6BC53B3AB9937EEE3D277"/>
      <w:bookmarkEnd w:id="8634"/>
    </w:p>
    <w:p>
      <w:pPr>
        <w:jc w:val="center"/>
        <w:spacing w:line="288.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RECONCILIATION OF OPERATING LOSS TO NON-GAAP FINANCIAL MEASURES</w:t>
      </w:r>
    </w:p>
    <w:p>
      <w:pPr>
        <w:jc w:val="center"/>
        <w:spacing w:line="288.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(in thousands, except per share amounts)</w:t>
      </w:r>
    </w:p>
    <w:p>
      <w:pPr>
        <w:jc w:val="center"/>
        <w:spacing w:line="288.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(Unaudited)</w:t>
      </w:r>
    </w:p>
    <w:p>
      <w:pPr>
        <w:jc w:val="center"/>
        <w:spacing w:line="288.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00" w:lineRule="exact"/>
        <w:rPr/>
        <w:keepNext/>
      </w:pPr>
      <w:r>
        <w:rPr/>
      </w:r>
    </w:p>
    <w:tbl>
      <w:tblPr>
        <w:tblW w:w="10240" w:type="dxa"/>
        <w:tblLayout w:type="fixed"/>
        <w:jc w:val="center"/>
      </w:tblPr>
      <w:tblGrid>
        <w:gridCol w:w="7280"/>
        <w:gridCol w:w="80"/>
        <w:gridCol w:w="110"/>
        <w:gridCol w:w="1060"/>
        <w:gridCol w:w="230"/>
        <w:gridCol w:w="80"/>
        <w:gridCol w:w="110"/>
        <w:gridCol w:w="1100"/>
        <w:gridCol w:w="190"/>
      </w:tblGrid>
      <w:tr>
        <w:trPr>
          <w:trHeight w:val="240" w:hRule="exact"/>
        </w:trPr>
        <w:tc>
          <w:tcPr>
            <w:tcW w:w="7280" w:type="dxa"/>
            <w:tcMar>
              <w:right w:type="dxa" w:w="60"/>
              <w:left w:type="dxa" w:w="60"/>
            </w:tcMar>
            <w:vAlign w:val="bottom"/>
          </w:tcPr>
          <w:p>
            <w:pPr>
              <w:jc w:val="left"/>
              <w:keepNext/>
              <w:keepLines/>
              <w:spacing w:line="240.0" w:lineRule="auto"/>
              <w:rPr/>
            </w:pPr>
            <w:r>
              <w:rPr/>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40"/>
              <w:left w:type="dxa" w:w="0"/>
            </w:tcMar>
            <w:hMerge w:val="restart"/>
            <w:tcBorders>
              <w:bottom w:spacing="0" w:val="single" w:sz="8.0"/>
            </w:tcBorders>
            <w:vAlign w:val="bottom"/>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Three Months Ended March 31,</w:t>
            </w:r>
          </w:p>
        </w:tc>
        <w:tc w:gutter="main">
          <w:tcPr>
            <w:tcW w:w="2880" w:type="dxa"/>
            <w:tcMar>
              <w:top w:type="dxa" w:w="0"/>
              <w:bottom w:type="dxa" w:w="40"/>
              <w:right w:type="dxa" w:w="40"/>
              <w:left w:type="dxa" w:w="0"/>
            </w:tcMar>
            <w:hMerge w:val="continue"/>
            <w:tcBorders>
              <w:bottom w:spacing="0" w:val="single" w:sz="8.0"/>
            </w:tcBorders>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Three Months Ended March 31,</w:t>
            </w:r>
          </w:p>
        </w:tc>
        <w:tc w:gutter="right">
          <w:tcPr>
            <w:tcW w:w="230" w:type="dxa"/>
            <w:tcMar>
              <w:top w:type="dxa" w:w="0"/>
              <w:bottom w:type="dxa" w:w="40"/>
              <w:right w:type="dxa" w:w="0"/>
              <w:left w:type="dxa" w:w="0"/>
            </w:tcMar>
            <w:hMerge w:val="continue"/>
            <w:tcBorders>
              <w:bottom w:spacing="0" w:val="single" w:sz="8.0"/>
            </w:tcBorders>
          </w:tcPr>
          <w:p/>
        </w:tc>
        <w:tc>
          <w:tcPr>
            <w:tcMar>
              <w:right w:type="dxa" w:w="0"/>
              <w:left w:type="dxa" w:w="0"/>
            </w:tcMar>
            <w:hMerge w:val="continue"/>
            <w:tcBorders>
              <w:bottom w:spacing="0" w:val="single" w:sz="8.0"/>
            </w:tcBorders>
            <w:vAlign w:val="bottom"/>
          </w:tcPr>
          <w:p>
            <w:pPr>
              <w:jc w:val="left"/>
              <w:keepNext/>
              <w:keepLines/>
              <w:spacing w:line="240.0" w:lineRule="auto"/>
              <w:rPr/>
            </w:pPr>
            <w:r>
              <w:rPr/>
            </w:r>
          </w:p>
        </w:tc>
        <w:tc w:gutter="left">
          <w:tcPr>
            <w:tcW w:w="110" w:type="dxa"/>
            <w:tcMar>
              <w:right w:type="dxa" w:w="0"/>
              <w:left w:type="dxa" w:w="0"/>
            </w:tcMar>
            <w:hMerge w:val="continue"/>
            <w:tcBorders>
              <w:bottom w:spacing="0" w:val="single" w:sz="8.0"/>
            </w:tcBorders>
            <w:vAlign w:val="bottom"/>
          </w:tcPr>
          <w:p>
            <w:pPr>
              <w:jc w:val="left"/>
              <w:keepNext/>
              <w:keepLines/>
              <w:spacing w:line="240.0" w:lineRule="auto"/>
              <w:rPr/>
            </w:pPr>
            <w:r>
              <w:rPr/>
            </w:r>
          </w:p>
        </w:tc>
        <w:tc w:gutter="main">
          <w:tcPr>
            <w:tcMar>
              <w:right w:type="dxa" w:w="0"/>
              <w:left w:type="dxa" w:w="0"/>
            </w:tcMar>
            <w:hMerge w:val="continue"/>
            <w:tcBorders>
              <w:bottom w:spacing="0" w:val="single" w:sz="8.0"/>
            </w:tcBorders>
          </w:tcPr>
          <w:p>
            <w:pPr>
              <w:jc w:val="left"/>
              <w:keepNext/>
              <w:keepLines/>
              <w:spacing w:line="240.0" w:lineRule="auto"/>
              <w:rPr/>
            </w:pPr>
            <w:r>
              <w:rPr/>
            </w:r>
          </w:p>
        </w:tc>
        <w:tc w:gutter="right">
          <w:tcPr>
            <w:tcW w:w="190" w:type="dxa"/>
            <w:tcMar>
              <w:top w:type="dxa" w:w="0"/>
              <w:bottom w:type="dxa" w:w="40"/>
              <w:right w:type="dxa" w:w="0"/>
              <w:left w:type="dxa" w:w="0"/>
            </w:tcMar>
            <w:hMerge w:val="continue"/>
            <w:tcBorders>
              <w:bottom w:spacing="0" w:val="single" w:sz="8.0"/>
            </w:tcBorders>
          </w:tcPr>
          <w:p/>
        </w:tc>
      </w:tr>
      <w:tr>
        <w:trPr>
          <w:trHeight w:val="240" w:hRule="exact"/>
        </w:trPr>
        <w:tc>
          <w:tcPr>
            <w:tcW w:w="7280" w:type="dxa"/>
            <w:tcMar>
              <w:right w:type="dxa" w:w="60"/>
              <w:left w:type="dxa" w:w="60"/>
            </w:tcMar>
            <w:hMerge w:val="restart"/>
            <w:vAlign w:val="bottom"/>
          </w:tcPr>
          <w:p>
            <w:pPr>
              <w:jc w:val="left"/>
              <w:keepNext/>
              <w:keepLines/>
              <w:spacing w:line="240.0" w:lineRule="auto"/>
              <w:rPr/>
            </w:pPr>
            <w:r>
              <w:rPr/>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0"/>
              <w:left w:type="dxa" w:w="0"/>
            </w:tcMar>
            <w:tcBorders>
              <w:bottom w:spacing="0" w:val="single" w:sz="8.0"/>
            </w:tcBorders>
            <w:vAlign w:val="bottom"/>
            <w:hMerge w:val="restart"/>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2014</w:t>
            </w:r>
          </w:p>
        </w:tc>
        <w:tc w:gutter="main">
          <w:tcPr>
            <w:tcW w:w="1060" w:type="dxa"/>
            <w:tcMar>
              <w:top w:type="dxa" w:w="0"/>
              <w:bottom w:type="dxa" w:w="40"/>
              <w:right w:type="dxa" w:w="0"/>
              <w:left w:type="dxa" w:w="0"/>
            </w:tcMar>
            <w:tcBorders>
              <w:bottom w:spacing="0" w:val="single" w:sz="8.0"/>
            </w:tcBorders>
            <w:hMerge w:val="continue"/>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2014</w:t>
            </w:r>
          </w:p>
        </w:tc>
        <w:tc w:gutter="right">
          <w:tcPr>
            <w:tcW w:w="230" w:type="dxa"/>
            <w:tcMar>
              <w:top w:type="dxa" w:w="0"/>
              <w:bottom w:type="dxa" w:w="40"/>
              <w:right w:type="dxa" w:w="0"/>
              <w:left w:type="dxa" w:w="0"/>
            </w:tcMar>
            <w:tcBorders>
              <w:bottom w:spacing="0" w:val="single" w:sz="8.0"/>
            </w:tcBorders>
            <w:hMerge w:val="restart"/>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0"/>
              <w:left w:type="dxa" w:w="0"/>
            </w:tcMar>
            <w:tcBorders>
              <w:bottom w:spacing="0" w:val="single" w:sz="8.0"/>
            </w:tcBorders>
            <w:vAlign w:val="bottom"/>
            <w:hMerge w:val="restart"/>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2013</w:t>
            </w:r>
          </w:p>
        </w:tc>
        <w:tc w:gutter="main">
          <w:tcPr>
            <w:tcW w:w="1100" w:type="dxa"/>
            <w:tcMar>
              <w:top w:type="dxa" w:w="0"/>
              <w:bottom w:type="dxa" w:w="40"/>
              <w:right w:type="dxa" w:w="0"/>
              <w:left w:type="dxa" w:w="0"/>
            </w:tcMar>
            <w:tcBorders>
              <w:bottom w:spacing="0" w:val="single" w:sz="8.0"/>
            </w:tcBorders>
            <w:hMerge w:val="continue"/>
          </w:tcPr>
          <w:p>
            <w:pPr>
              <w:jc w:val="center"/>
              <w:keepNext/>
              <w:keepLines/>
              <w:spacing w:line="240.0" w:lineRule="auto"/>
              <w:rPr>
                <w:rFonts w:ascii="Times New Roman" w:hAnsi="Times New Roman" w:eastAsia="Times New Roman" w:cs="Times New Roman"/>
                <w:sz w:val="18"/>
                <w:b w:val="true"/>
              </w:rPr>
            </w:pPr>
            <w:r>
              <w:rPr>
                <w:rFonts w:ascii="Times New Roman" w:hAnsi="Times New Roman" w:eastAsia="Times New Roman" w:cs="Times New Roman"/>
                <w:sz w:val="18"/>
                <w:b w:val="true"/>
                <w:color w:val="000000"/>
              </w:rPr>
              <w:t xml:space="preserve">2013</w:t>
            </w:r>
          </w:p>
        </w:tc>
        <w:tc w:gutter="right">
          <w:tcPr>
            <w:tcW w:w="190" w:type="dxa"/>
            <w:tcMar>
              <w:top w:type="dxa" w:w="0"/>
              <w:bottom w:type="dxa" w:w="40"/>
              <w:right w:type="dxa" w:w="0"/>
              <w:left w:type="dxa" w:w="0"/>
            </w:tcMar>
            <w:tcBorders>
              <w:bottom w:spacing="0" w:val="single" w:sz="8.0"/>
            </w:tcBorders>
            <w:hMerge w:val="restart"/>
          </w:tcPr>
          <w:p/>
        </w:tc>
      </w:tr>
      <w:tr>
        <w:trPr>
          <w:trHeight w:val="240" w:hRule="exact"/>
        </w:trPr>
        <w:tc>
          <w:tcPr>
            <w:tcW w:w="7280" w:type="dxa"/>
            <w:tcMar>
              <w:top w:type="dxa" w:w="0"/>
              <w:bottom w:type="dxa" w:w="40"/>
              <w:right w:type="dxa" w:w="60"/>
              <w:left w:type="dxa" w:w="6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Operating loss, as reported</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06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(3,019</w:t>
            </w:r>
          </w:p>
        </w:tc>
        <w:tc w:gutter="right">
          <w:tcPr>
            <w:tcW w:w="230" w:type="dxa"/>
            <w:tcMar>
              <w:top w:type="dxa" w:w="0"/>
              <w:bottom w:type="dxa" w:w="40"/>
              <w:right w:type="dxa" w:w="2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10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(278</w:t>
            </w:r>
          </w:p>
        </w:tc>
        <w:tc w:gutter="right">
          <w:tcPr>
            <w:tcW w:w="190" w:type="dxa"/>
            <w:tcMar>
              <w:top w:type="dxa" w:w="0"/>
              <w:bottom w:type="dxa" w:w="40"/>
              <w:right w:type="dxa" w:w="20"/>
              <w:left w:type="dxa" w:w="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val="240" w:hRule="exact"/>
        </w:trPr>
        <w:tc>
          <w:tcPr>
            <w:tcW w:w="7280" w:type="dxa"/>
            <w:tcMar>
              <w:top w:type="dxa" w:w="0"/>
              <w:bottom w:type="dxa" w:w="40"/>
              <w:right w:type="dxa" w:w="60"/>
              <w:left w:type="dxa" w:w="6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Add back:</w:t>
            </w:r>
          </w:p>
        </w:tc>
        <w:tc>
          <w:tcPr>
            <w:tcW w:w="80" w:type="dxa"/>
            <w:tcMar>
              <w:right w:type="dxa" w:w="0"/>
              <w:left w:type="dxa" w:w="0"/>
            </w:tcMar>
            <w:vAlign w:val="bottom"/>
          </w:tcPr>
          <w:p>
            <w:pPr>
              <w:jc w:val="left"/>
              <w:keepNext/>
              <w:keepLines/>
              <w:spacing w:line="240.0" w:lineRule="auto"/>
              <w:rPr/>
            </w:pPr>
            <w:r>
              <w:rPr/>
            </w:r>
          </w:p>
        </w:tc>
        <w:tc w:gutter="left">
          <w:tcPr>
            <w:tcW w:w="110" w:type="dxa"/>
            <w:tcMar>
              <w:right w:type="dxa" w:w="0"/>
              <w:left w:type="dxa" w:w="0"/>
            </w:tcMar>
            <w:vAlign w:val="bottom"/>
            <w:hMerge w:val="restart"/>
          </w:tcPr>
          <w:p>
            <w:pPr>
              <w:jc w:val="left"/>
              <w:keepNext/>
              <w:keepLines/>
              <w:spacing w:line="240.0" w:lineRule="auto"/>
              <w:rPr/>
            </w:pPr>
            <w:r>
              <w:rPr/>
            </w:r>
          </w:p>
        </w:tc>
        <w:tc w:gutter="main">
          <w:tcPr>
            <w:tcW w:w="1060" w:type="dxa"/>
            <w:tcMar>
              <w:right w:type="dxa" w:w="0"/>
              <w:left w:type="dxa" w:w="0"/>
            </w:tcMar>
            <w:hMerge w:val="continue"/>
          </w:tcPr>
          <w:p>
            <w:pPr>
              <w:jc w:val="left"/>
              <w:keepNext/>
              <w:keepLines/>
              <w:spacing w:line="240.0" w:lineRule="auto"/>
              <w:rPr/>
            </w:pPr>
            <w:r>
              <w:rPr/>
            </w:r>
          </w:p>
        </w:tc>
        <w:tc w:gutter="right">
          <w:tcPr>
            <w:tcW w:w="230" w:type="dxa"/>
            <w:tcMar>
              <w:right w:type="dxa" w:w="0"/>
              <w:left w:type="dxa" w:w="0"/>
            </w:tcMar>
            <w:hMerge w:val="restart"/>
          </w:tcPr>
          <w:p/>
        </w:tc>
        <w:tc>
          <w:tcPr>
            <w:tcW w:w="80" w:type="dxa"/>
            <w:tcMar>
              <w:right w:type="dxa" w:w="0"/>
              <w:left w:type="dxa" w:w="0"/>
            </w:tcMar>
            <w:vAlign w:val="bottom"/>
          </w:tcPr>
          <w:p>
            <w:pPr>
              <w:jc w:val="left"/>
              <w:keepNext/>
              <w:keepLines/>
              <w:spacing w:line="240.0" w:lineRule="auto"/>
              <w:rPr/>
            </w:pPr>
            <w:r>
              <w:rPr/>
            </w:r>
          </w:p>
        </w:tc>
        <w:tc w:gutter="left">
          <w:tcPr>
            <w:tcW w:w="110" w:type="dxa"/>
            <w:tcMar>
              <w:right w:type="dxa" w:w="0"/>
              <w:left w:type="dxa" w:w="0"/>
            </w:tcMar>
            <w:vAlign w:val="bottom"/>
            <w:hMerge w:val="restart"/>
          </w:tcPr>
          <w:p>
            <w:pPr>
              <w:jc w:val="left"/>
              <w:keepNext/>
              <w:keepLines/>
              <w:spacing w:line="240.0" w:lineRule="auto"/>
              <w:rPr/>
            </w:pPr>
            <w:r>
              <w:rPr/>
            </w:r>
          </w:p>
        </w:tc>
        <w:tc w:gutter="main">
          <w:tcPr>
            <w:tcW w:w="1100" w:type="dxa"/>
            <w:tcMar>
              <w:right w:type="dxa" w:w="0"/>
              <w:left w:type="dxa" w:w="0"/>
            </w:tcMar>
            <w:hMerge w:val="continue"/>
          </w:tcPr>
          <w:p>
            <w:pPr>
              <w:jc w:val="left"/>
              <w:keepNext/>
              <w:keepLines/>
              <w:spacing w:line="240.0" w:lineRule="auto"/>
              <w:rPr/>
            </w:pPr>
            <w:r>
              <w:rPr/>
            </w:r>
          </w:p>
        </w:tc>
        <w:tc w:gutter="right">
          <w:tcPr>
            <w:tcW w:w="190" w:type="dxa"/>
            <w:tcMar>
              <w:right w:type="dxa" w:w="0"/>
              <w:left w:type="dxa" w:w="0"/>
            </w:tcMar>
            <w:hMerge w:val="restart"/>
          </w:tcPr>
          <w:p/>
        </w:tc>
      </w:tr>
      <w:tr>
        <w:trPr>
          <w:trHeight w:val="240" w:hRule="exact"/>
        </w:trPr>
        <w:tc>
          <w:tcPr>
            <w:tcW w:w="7280" w:type="dxa"/>
            <w:tcMar>
              <w:top w:type="dxa" w:w="0"/>
              <w:bottom w:type="dxa" w:w="40"/>
              <w:right w:type="dxa" w:w="60"/>
              <w:left w:type="dxa" w:w="42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Depreciation and amortization</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959</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959</w:t>
            </w:r>
          </w:p>
        </w:tc>
        <w:tc w:gutter="right">
          <w:tcPr>
            <w:tcW w:w="230" w:type="dxa"/>
            <w:tcMar>
              <w:top w:type="dxa" w:w="0"/>
              <w:bottom w:type="dxa" w:w="40"/>
              <w:right w:type="dxa" w:w="20"/>
              <w:left w:type="dxa" w:w="0"/>
            </w:tcMar>
            <w:shd w:fill="cceeff"/>
          </w:tcP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20"/>
              <w:left w:type="dxa" w:w="0"/>
            </w:tcMar>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957</w:t>
            </w:r>
          </w:p>
        </w:tc>
        <w:tc w:gutter="main">
          <w:tcPr>
            <w:tcMar>
              <w:top w:type="dxa" w:w="0"/>
              <w:bottom w:type="dxa" w:w="40"/>
              <w:right w:type="dxa" w:w="20"/>
              <w:left w:type="dxa" w:w="0"/>
            </w:tcMar>
            <w:shd w:fill="cceeff"/>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957</w:t>
            </w:r>
          </w:p>
        </w:tc>
        <w:tc w:gutter="right">
          <w:tcPr>
            <w:tcW w:w="190" w:type="dxa"/>
            <w:tcMar>
              <w:top w:type="dxa" w:w="0"/>
              <w:bottom w:type="dxa" w:w="40"/>
              <w:right w:type="dxa" w:w="20"/>
              <w:left w:type="dxa" w:w="0"/>
            </w:tcMar>
            <w:shd w:fill="cceeff"/>
          </w:tcPr>
          <w:p/>
        </w:tc>
      </w:tr>
      <w:tr>
        <w:trPr>
          <w:trHeight w:val="240" w:hRule="exact"/>
        </w:trPr>
        <w:tc>
          <w:tcPr>
            <w:tcW w:w="7280" w:type="dxa"/>
            <w:tcMar>
              <w:top w:type="dxa" w:w="0"/>
              <w:bottom w:type="dxa" w:w="40"/>
              <w:right w:type="dxa" w:w="60"/>
              <w:left w:type="dxa" w:w="420"/>
            </w:tcMar>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Stock-based compensation</w:t>
            </w: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tcBorders>
              <w:bottom w:spacing="0" w:val="single" w:sz="8.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1,040</w:t>
            </w:r>
          </w:p>
        </w:tc>
        <w:tc w:gutter="main">
          <w:tcPr>
            <w:tcMar>
              <w:top w:type="dxa" w:w="0"/>
              <w:bottom w:type="dxa" w:w="40"/>
              <w:right w:type="dxa" w:w="20"/>
              <w:left w:type="dxa" w:w="0"/>
            </w:tcMar>
            <w:tcBorders>
              <w:bottom w:spacing="0" w:val="single" w:sz="8.0"/>
            </w:tcBorders>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1,040</w:t>
            </w:r>
          </w:p>
        </w:tc>
        <w:tc w:gutter="right">
          <w:tcPr>
            <w:tcW w:w="230" w:type="dxa"/>
            <w:tcMar>
              <w:top w:type="dxa" w:w="0"/>
              <w:bottom w:type="dxa" w:w="40"/>
              <w:right w:type="dxa" w:w="20"/>
              <w:left w:type="dxa" w:w="0"/>
            </w:tcMar>
            <w:tcBorders>
              <w:bottom w:spacing="0" w:val="single" w:sz="8.0"/>
            </w:tcBorders>
          </w:tcPr>
          <w:p/>
        </w:tc>
        <w:tc>
          <w:tcPr>
            <w:tcW w:w="80" w:type="dxa"/>
            <w:tcMar>
              <w:right w:type="dxa" w:w="0"/>
              <w:left w:type="dxa" w:w="0"/>
            </w:tcMar>
            <w:vAlign w:val="bottom"/>
          </w:tcPr>
          <w:p>
            <w:pPr>
              <w:jc w:val="left"/>
              <w:keepNext/>
              <w:keepLines/>
              <w:spacing w:line="240.0" w:lineRule="auto"/>
              <w:rPr/>
            </w:pPr>
            <w:r>
              <w:rPr/>
            </w:r>
          </w:p>
        </w:tc>
        <w:tc w:gutter="left">
          <w:tcPr>
            <w:tcW w:w="110" w:type="dxa"/>
            <w:tcMar>
              <w:top w:type="dxa" w:w="0"/>
              <w:bottom w:type="dxa" w:w="40"/>
              <w:right w:type="dxa" w:w="20"/>
              <w:left w:type="dxa" w:w="0"/>
            </w:tcMar>
            <w:tcBorders>
              <w:bottom w:spacing="0" w:val="single" w:sz="8.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66</w:t>
            </w:r>
          </w:p>
        </w:tc>
        <w:tc w:gutter="main">
          <w:tcPr>
            <w:tcMar>
              <w:top w:type="dxa" w:w="0"/>
              <w:bottom w:type="dxa" w:w="40"/>
              <w:right w:type="dxa" w:w="20"/>
              <w:left w:type="dxa" w:w="0"/>
            </w:tcMar>
            <w:tcBorders>
              <w:bottom w:spacing="0" w:val="single" w:sz="8.0"/>
            </w:tcBorders>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66</w:t>
            </w:r>
          </w:p>
        </w:tc>
        <w:tc w:gutter="right">
          <w:tcPr>
            <w:tcW w:w="190" w:type="dxa"/>
            <w:tcMar>
              <w:top w:type="dxa" w:w="0"/>
              <w:bottom w:type="dxa" w:w="40"/>
              <w:right w:type="dxa" w:w="20"/>
              <w:left w:type="dxa" w:w="0"/>
            </w:tcMar>
            <w:tcBorders>
              <w:bottom w:spacing="0" w:val="single" w:sz="8.0"/>
            </w:tcBorders>
          </w:tcPr>
          <w:p/>
        </w:tc>
      </w:tr>
      <w:tr>
        <w:trPr>
          <w:trHeight w:val="240" w:hRule="exact"/>
        </w:trPr>
        <w:tc>
          <w:tcPr>
            <w:tcW w:w="7280" w:type="dxa"/>
            <w:tcMar>
              <w:top w:type="dxa" w:w="0"/>
              <w:bottom w:type="dxa" w:w="40"/>
              <w:right w:type="dxa" w:w="60"/>
              <w:left w:type="dxa" w:w="60"/>
            </w:tcMar>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Non-GAAP adjusted EBITDA</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0"/>
              <w:left w:type="dxa" w:w="0"/>
            </w:tcMar>
            <w:tcBorders>
              <w:top w:spacing="0" w:val="single" w:sz="8.0" w:space="0"/>
              <w:bottom w:spacing="0" w:val="double" w:sz="4.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060" w:type="dxa"/>
            <w:tcMar>
              <w:top w:type="dxa" w:w="0"/>
              <w:bottom w:type="dxa" w:w="40"/>
              <w:right w:type="dxa" w:w="20"/>
              <w:left w:type="dxa" w:w="0"/>
            </w:tcMar>
            <w:tcBorders>
              <w:top w:spacing="0" w:val="single" w:sz="8.0" w:space="0"/>
              <w:bottom w:spacing="0" w:val="double" w:sz="4.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(1,020</w:t>
            </w:r>
          </w:p>
        </w:tc>
        <w:tc w:gutter="right">
          <w:tcPr>
            <w:tcW w:w="230" w:type="dxa"/>
            <w:tcMar>
              <w:top w:type="dxa" w:w="0"/>
              <w:bottom w:type="dxa" w:w="40"/>
              <w:right w:type="dxa" w:w="20"/>
              <w:left w:type="dxa" w:w="0"/>
            </w:tcMar>
            <w:tcBorders>
              <w:top w:spacing="0" w:val="single" w:sz="8.0" w:space="0"/>
              <w:bottom w:spacing="0" w:val="double" w:sz="4.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shd w:fill="cceeff"/>
            <w:vAlign w:val="bottom"/>
          </w:tcPr>
          <w:p>
            <w:pPr>
              <w:jc w:val="left"/>
              <w:keepNext/>
              <w:keepLines/>
              <w:spacing w:line="240.0" w:lineRule="auto"/>
              <w:rPr/>
            </w:pPr>
            <w:r>
              <w:rPr/>
            </w:r>
          </w:p>
        </w:tc>
        <w:tc w:gutter="left">
          <w:tcPr>
            <w:tcW w:w="110" w:type="dxa"/>
            <w:tcMar>
              <w:top w:type="dxa" w:w="0"/>
              <w:bottom w:type="dxa" w:w="40"/>
              <w:right w:type="dxa" w:w="0"/>
              <w:left w:type="dxa" w:w="0"/>
            </w:tcMar>
            <w:tcBorders>
              <w:top w:spacing="0" w:val="single" w:sz="8.0" w:space="0"/>
              <w:bottom w:spacing="0" w:val="double" w:sz="4.0"/>
            </w:tcBorders>
            <w:shd w:fill="cceeff"/>
            <w:vAlign w:val="bottom"/>
          </w:tcPr>
          <w:p>
            <w:pPr>
              <w:jc w:val="lef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gutter="main">
          <w:tcPr>
            <w:tcW w:w="1100" w:type="dxa"/>
            <w:tcMar>
              <w:top w:type="dxa" w:w="0"/>
              <w:bottom w:type="dxa" w:w="40"/>
              <w:right w:type="dxa" w:w="20"/>
              <w:left w:type="dxa" w:w="0"/>
            </w:tcMar>
            <w:tcBorders>
              <w:top w:spacing="0" w:val="single" w:sz="8.0" w:space="0"/>
              <w:bottom w:spacing="0" w:val="double" w:sz="4.0"/>
            </w:tcBorders>
            <w:shd w:fill="cceeff"/>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745</w:t>
            </w:r>
          </w:p>
        </w:tc>
        <w:tc w:gutter="right">
          <w:tcPr>
            <w:tcW w:w="190" w:type="dxa"/>
            <w:tcMar>
              <w:top w:type="dxa" w:w="0"/>
              <w:bottom w:type="dxa" w:w="40"/>
              <w:right w:type="dxa" w:w="20"/>
              <w:left w:type="dxa" w:w="0"/>
            </w:tcMar>
            <w:tcBorders>
              <w:top w:spacing="0" w:val="single" w:sz="8.0" w:space="0"/>
              <w:bottom w:spacing="0" w:val="double" w:sz="4.0"/>
            </w:tcBorders>
            <w:shd w:fill="cceeff"/>
          </w:tcPr>
          <w:p/>
        </w:tc>
      </w:tr>
      <w:tr>
        <w:trPr>
          <w:trHeight w:val="240" w:hRule="exact"/>
        </w:trPr>
        <w:tc>
          <w:tcPr>
            <w:tcW w:w="7280" w:type="dxa"/>
            <w:tcMar>
              <w:top w:type="dxa" w:w="0"/>
              <w:bottom w:type="dxa" w:w="40"/>
              <w:right w:type="dxa" w:w="60"/>
              <w:left w:type="dxa" w:w="60"/>
            </w:tcMar>
            <w:vAlign w:val="bottom"/>
          </w:tcPr>
          <w:p>
            <w:pPr>
              <w:jc w:val="lef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Non-GAAP adjusted EBITDA margin</w:t>
            </w:r>
          </w:p>
        </w:tc>
        <w:tc>
          <w:tcPr>
            <w:tcW w:w="80" w:type="dxa"/>
            <w:tcMar>
              <w:right w:type="dxa" w:w="0"/>
              <w:left w:type="dxa" w:w="0"/>
            </w:tcMar>
            <w:vAlign w:val="bottom"/>
          </w:tcPr>
          <w:p>
            <w:pPr>
              <w:jc w:val="left"/>
              <w:keepLines/>
              <w:spacing w:line="240.0" w:lineRule="auto"/>
              <w:rPr/>
            </w:pPr>
            <w:r>
              <w:rPr/>
            </w:r>
          </w:p>
        </w:tc>
        <w:tc w:gutter="left">
          <w:tcPr>
            <w:tcW w:w="110" w:type="dxa"/>
            <w:tcMar>
              <w:top w:type="dxa" w:w="0"/>
              <w:bottom w:type="dxa" w:w="40"/>
              <w:right w:type="dxa" w:w="20"/>
              <w:left w:type="dxa" w:w="0"/>
            </w:tcMar>
            <w:tcBorders>
              <w:top w:spacing="0" w:val="double" w:sz="4.0" w:space="0"/>
              <w:bottom w:spacing="0" w:val="double" w:sz="4.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(3.3</w:t>
            </w:r>
          </w:p>
        </w:tc>
        <w:tc w:gutter="main">
          <w:tcPr>
            <w:tcMar>
              <w:top w:type="dxa" w:w="0"/>
              <w:bottom w:type="dxa" w:w="40"/>
              <w:right w:type="dxa" w:w="20"/>
              <w:left w:type="dxa" w:w="0"/>
            </w:tcMar>
            <w:tcBorders>
              <w:top w:spacing="0" w:val="double" w:sz="4.0" w:space="0"/>
              <w:bottom w:spacing="0" w:val="double" w:sz="4.0"/>
            </w:tcBorders>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(3.3</w:t>
            </w:r>
          </w:p>
        </w:tc>
        <w:tc w:gutter="right">
          <w:tcPr>
            <w:tcW w:w="230" w:type="dxa"/>
            <w:tcMar>
              <w:top w:type="dxa" w:w="0"/>
              <w:bottom w:type="dxa" w:w="40"/>
              <w:right w:type="dxa" w:w="20"/>
              <w:left w:type="dxa" w:w="0"/>
            </w:tcMar>
            <w:tcBorders>
              <w:top w:spacing="0" w:val="double" w:sz="4.0" w:space="0"/>
              <w:bottom w:spacing="0" w:val="double" w:sz="4.0"/>
            </w:tcBorders>
            <w:vAlign w:val="bottom"/>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w="80" w:type="dxa"/>
            <w:tcMar>
              <w:right w:type="dxa" w:w="0"/>
              <w:left w:type="dxa" w:w="0"/>
            </w:tcMar>
            <w:vAlign w:val="bottom"/>
          </w:tcPr>
          <w:p>
            <w:pPr>
              <w:jc w:val="left"/>
              <w:keepLines/>
              <w:spacing w:line="240.0" w:lineRule="auto"/>
              <w:rPr/>
            </w:pPr>
            <w:r>
              <w:rPr/>
            </w:r>
          </w:p>
        </w:tc>
        <w:tc w:gutter="left">
          <w:tcPr>
            <w:tcW w:w="110" w:type="dxa"/>
            <w:tcMar>
              <w:top w:type="dxa" w:w="0"/>
              <w:bottom w:type="dxa" w:w="40"/>
              <w:right w:type="dxa" w:w="20"/>
              <w:left w:type="dxa" w:w="0"/>
            </w:tcMar>
            <w:tcBorders>
              <w:top w:spacing="0" w:val="double" w:sz="4.0" w:space="0"/>
              <w:bottom w:spacing="0" w:val="double" w:sz="4.0"/>
            </w:tcBorders>
            <w:vAlign w:val="bottom"/>
            <w:hMerge w:val="restart"/>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2.9</w:t>
            </w:r>
          </w:p>
        </w:tc>
        <w:tc w:gutter="main">
          <w:tcPr>
            <w:tcMar>
              <w:top w:type="dxa" w:w="0"/>
              <w:bottom w:type="dxa" w:w="40"/>
              <w:right w:type="dxa" w:w="20"/>
              <w:left w:type="dxa" w:w="0"/>
            </w:tcMar>
            <w:tcBorders>
              <w:top w:spacing="0" w:val="double" w:sz="4.0" w:space="0"/>
              <w:bottom w:spacing="0" w:val="double" w:sz="4.0"/>
            </w:tcBorders>
            <w:vAlign w:val="bottom"/>
            <w:hMerge w:val="continue"/>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2.9</w:t>
            </w:r>
          </w:p>
        </w:tc>
        <w:tc w:gutter="right">
          <w:tcPr>
            <w:tcW w:w="190" w:type="dxa"/>
            <w:tcMar>
              <w:top w:type="dxa" w:w="0"/>
              <w:bottom w:type="dxa" w:w="40"/>
              <w:right w:type="dxa" w:w="20"/>
              <w:left w:type="dxa" w:w="0"/>
            </w:tcMar>
            <w:tcBorders>
              <w:top w:spacing="0" w:val="double" w:sz="4.0" w:space="0"/>
              <w:bottom w:spacing="0" w:val="double" w:sz="4.0"/>
            </w:tcBorders>
            <w:vAlign w:val="bottom"/>
          </w:tcPr>
          <w:p>
            <w:pPr>
              <w:jc w:val="right"/>
              <w:keepNext/>
              <w:keepLines/>
              <w:spacing w:line="240.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bl>
    <w:p>
      <w:pPr>
        <w:jc w:val="left"/>
        <w:spacing w:line="220.0" w:lineRule="exact"/>
        <w:rPr>
          <w:rFonts w:ascii="Times New Roman" w:hAnsi="Times New Roman" w:eastAsia="Times New Roman" w:cs="Times New Roman"/>
          <w:sz w:val="20"/>
        </w:rPr>
      </w:pPr>
      <w:r>
        <w:rPr>
          <w:rFonts w:ascii="Times New Roman" w:hAnsi="Times New Roman" w:eastAsia="Times New Roman" w:cs="Times New Roman"/>
          <w:sz w:val="20"/>
        </w:rPr>
      </w:r>
    </w:p>
    <w:sectPr>
      <w:pgNumType w:fmt="decimal" w:chapSep="period"/>
      <w:pgSz w:w="12240" w:h="15840"/>
      <w:pgMar w:top="860" w:left="1000" w:right="1000" w:bottom="860" w:footer="460" w:gutter="0" w:header="160"/>
      <w:headerReference r:id="rId1" w:type="default"/>
      <w:footerReference r:id="rId6" w:type="default"/>
    </w:sectPr>
  </w:body>
</w:document>
</file>

<file path=word/footer1.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0"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20.0" w:lineRule="exact"/>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3.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0"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4.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0"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5.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0"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header1.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left"/>
      <w:spacing w:line="288.0" w:lineRule="auto"/>
      <w:rPr>
        <w:rFonts w:ascii="Times New Roman" w:hAnsi="Times New Roman" w:eastAsia="Times New Roman" w:cs="Times New Roman"/>
        <w:sz w:val="20"/>
      </w:rPr>
    </w:pPr>
    <w:r>
      <w:rPr>
        <w:rFonts w:ascii="Times New Roman" w:hAnsi="Times New Roman" w:eastAsia="Times New Roman" w:cs="Times New Roman"/>
        <w:sz w:val="20"/>
      </w:rPr>
    </w:r>
  </w:p>
</w:hdr>
</file>

<file path=word/numbering.xml><?xml version="1.0" encoding="utf-8"?>
<w:numbering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abstractNum w:abstractNumId="1">
    <w:multiLevelType w:val="hybridMultilevel"/>
    <w:lvl w:ilvl="0">
      <w:numFmt w:val="bullet"/>
      <w:lvlJc w:val="left"/>
      <w:lvlText w:val="•&#9;"/>
      <w:start w:val="1"/>
      <w:pPr>
        <w:ind w:hanging="360"/>
      </w:pPr>
      <w:rPr/>
    </w:lvl>
  </w:abstractNum>
  <w:num w:numId="1">
    <w:abstractNumId w:val="1"/>
  </w:num>
</w:numbering>
</file>

<file path=word/settings.xml><?xml version="1.0" encoding="utf-8"?>
<w:settings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decimalSymbol w:val=","/>
  <w:defaultTabStop w:val="720"/>
  <w:characterSpacingControl w:val="doNotCompress"/>
  <w:zoom w:val="100"/>
  <w:compat>
    <w:suppressTopSpacingWP/>
    <w:noLeading/>
    <w:compatSetting w:name="compatibilityMode" w:uri="http://schemas.microsoft.com/office/word" w:val="15"/>
    <w:noColumnbalance/>
    <w:compatSetting w:name="enableOpenTypeFeatures" w:uri="http://schemas.microsoft.com/office/word" w:val="1"/>
    <w:compatSetting w:name="overrideTableStyleFontSizeAndJustification" w:uri="http://schemas.microsoft.com/office/word" w:val="1"/>
    <w:compatSetting w:name="doNotFlipMirrorIndents" w:uri="http://schemas.microsoft.com/office/word" w:val="1"/>
  </w:compat>
</w:settings>
</file>

<file path=word/styles.xml><?xml version="1.0" encoding="utf-8"?>
<w:styles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docDefaults>
    <w:rPrDefault>
      <w:rPr>
        <w:rFonts w:ascii="Times New Roman" w:hAnsi="Times New Roman" w:eastAsia="Times New Roman" w:cs="Times New Roman"/>
        <w:kern w:val="16"/>
      </w:rPr>
    </w:rPrDefault>
    <w:pPrDefault>
      <w:pPr>
        <w:spacing w:before="0" w:after="0" w:line="240" w:lineRule="auto"/>
        <w:widowControl w:val="true"/>
      </w:pPr>
    </w:pPrDefault>
  </w:docDefaults>
</w:styles>
</file>

<file path=word/_rels/document.xml.rels><?xml version='1.0' encoding='utf-8' standalone='yes'?>
<Relationships xmlns="http://schemas.openxmlformats.org/package/2006/relationships"><Relationship TargetMode="Internal" Type="http://schemas.openxmlformats.org/officeDocument/2006/relationships/footer" Id="rId6" Target="footer5.xml"/><Relationship TargetMode="Internal" Type="http://schemas.openxmlformats.org/officeDocument/2006/relationships/settings" Id="d7e738ae4" Target="settings.xml"/><Relationship TargetMode="Internal" Type="http://schemas.openxmlformats.org/officeDocument/2006/relationships/numbering" Id="dac3d5e44" Target="numbering.xml"/><Relationship TargetMode="Internal" Type="http://schemas.openxmlformats.org/officeDocument/2006/relationships/footer" Id="rId5" Target="footer4.xml"/><Relationship TargetMode="Internal" Type="http://schemas.openxmlformats.org/officeDocument/2006/relationships/footer" Id="rId2" Target="footer1.xml"/><Relationship TargetMode="Internal" Type="http://schemas.openxmlformats.org/officeDocument/2006/relationships/header" Id="rId1" Target="header1.xml"/><Relationship TargetMode="Internal" Type="http://schemas.openxmlformats.org/officeDocument/2006/relationships/styles" Id="d157c269a" Target="styles.xml"/><Relationship TargetMode="Internal" Type="http://schemas.openxmlformats.org/officeDocument/2006/relationships/footer" Id="rId3" Target="footer2.xml"/><Relationship TargetMode="Internal" Type="http://schemas.openxmlformats.org/officeDocument/2006/relationships/footer" Id="rId4" Target="footer3.xml"/></Relationships>
</file>

<file path=word/_rels/footer1.xml.rels><?xml version='1.0' encoding='utf-8' standalone='yes'?>
<Relationships xmlns="http://schemas.openxmlformats.org/package/2006/relationships"/>
</file>

<file path=word/_rels/footer2.xml.rels><?xml version='1.0' encoding='utf-8' standalone='yes'?>
<Relationships xmlns="http://schemas.openxmlformats.org/package/2006/relationships"/>
</file>

<file path=word/_rels/footer3.xml.rels><?xml version='1.0' encoding='utf-8' standalone='yes'?>
<Relationships xmlns="http://schemas.openxmlformats.org/package/2006/relationships"/>
</file>

<file path=word/_rels/footer4.xml.rels><?xml version='1.0' encoding='utf-8' standalone='yes'?>
<Relationships xmlns="http://schemas.openxmlformats.org/package/2006/relationships"/>
</file>

<file path=word/_rels/footer5.xml.rels><?xml version='1.0' encoding='utf-8' standalone='yes'?>
<Relationships xmlns="http://schemas.openxmlformats.org/package/2006/relationships"/>
</file>

<file path=word/_rels/header1.xml.rels><?xml version='1.0' encoding='utf-8' standalone='yes'?>
<Relationships xmlns="http://schemas.openxmlformats.org/package/2006/relationships"/>
</file>

<file path=docProps/app.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mitype="http://purl.org/dc/dcmitype/" xmlns:dcterms="http://purl.org/dc/terms/" xmlns:dc="http://purl.org/dc/elements/1.1/" xmlns:xsi="http://www.w3.org/2001/XMLSchema-instance">
  <dc:title/>
  <dc:subject/>
  <dc:creator>WebFilings.com</dc:creator>
  <cp:keywords/>
  <dc:description/>
  <cp:revision>1</cp:revision>
  <cp:lastModifiedBy/>
  <dcterms:created xsi:type="dcterms:W3CDTF">2014-05-07T17:26:58Z</dcterms:created>
  <dcterms:modified xsi:type="dcterms:W3CDTF">2014-05-07T17:26:58Z</dcterms:modified>
</cp:coreProperties>
</file>