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28" w:rsidRPr="0019455A" w:rsidRDefault="008D5428" w:rsidP="004D32A7">
      <w:pPr>
        <w:pStyle w:val="Heading2"/>
        <w:rPr>
          <w:rFonts w:ascii="Times New Roman" w:hAnsi="Times New Roman"/>
          <w:sz w:val="22"/>
          <w:lang w:val="en-US"/>
        </w:rPr>
      </w:pPr>
      <w:bookmarkStart w:id="0" w:name="_GoBack"/>
      <w:bookmarkEnd w:id="0"/>
      <w:r w:rsidRPr="0019455A">
        <w:rPr>
          <w:rFonts w:ascii="Times New Roman" w:hAnsi="Times New Roman"/>
          <w:sz w:val="22"/>
          <w:lang w:val="en-US"/>
        </w:rPr>
        <w:t>Parameter VALUE LIST</w:t>
      </w:r>
    </w:p>
    <w:p w:rsidR="008D5428" w:rsidRPr="0019455A" w:rsidRDefault="008D5428" w:rsidP="004D32A7">
      <w:pPr>
        <w:ind w:right="-902"/>
        <w:rPr>
          <w:lang w:val="en-US"/>
        </w:rPr>
      </w:pPr>
    </w:p>
    <w:p w:rsidR="008D5428" w:rsidRPr="0019455A" w:rsidRDefault="008D5428" w:rsidP="004D32A7">
      <w:pPr>
        <w:tabs>
          <w:tab w:val="left" w:pos="3940"/>
          <w:tab w:val="left" w:pos="5660"/>
          <w:tab w:val="right" w:pos="8380"/>
        </w:tabs>
        <w:rPr>
          <w:sz w:val="20"/>
          <w:lang w:val="en-US"/>
        </w:rPr>
      </w:pPr>
      <w:r w:rsidRPr="0019455A">
        <w:rPr>
          <w:sz w:val="20"/>
          <w:lang w:val="en-US"/>
        </w:rPr>
        <w:t>1. STOCK AND STOCK INDEX PRODUCTS</w:t>
      </w:r>
      <w:r w:rsidR="00AF1A52" w:rsidRPr="0019455A">
        <w:rPr>
          <w:sz w:val="20"/>
          <w:lang w:val="en-US"/>
        </w:rPr>
        <w:t xml:space="preserve"> OMS II</w:t>
      </w:r>
    </w:p>
    <w:p w:rsidR="008D5428" w:rsidRPr="0019455A" w:rsidRDefault="008D5428" w:rsidP="004D32A7">
      <w:pPr>
        <w:tabs>
          <w:tab w:val="left" w:pos="3940"/>
          <w:tab w:val="left" w:pos="5660"/>
          <w:tab w:val="right" w:pos="8380"/>
        </w:tabs>
        <w:rPr>
          <w:sz w:val="20"/>
          <w:lang w:val="en-US"/>
        </w:rPr>
      </w:pPr>
    </w:p>
    <w:tbl>
      <w:tblPr>
        <w:tblW w:w="0" w:type="auto"/>
        <w:tblLook w:val="0000" w:firstRow="0" w:lastRow="0" w:firstColumn="0" w:lastColumn="0" w:noHBand="0" w:noVBand="0"/>
      </w:tblPr>
      <w:tblGrid>
        <w:gridCol w:w="7196"/>
        <w:gridCol w:w="951"/>
      </w:tblGrid>
      <w:tr w:rsidR="008D5428">
        <w:tc>
          <w:tcPr>
            <w:tcW w:w="7196" w:type="dxa"/>
          </w:tcPr>
          <w:p w:rsidR="008D5428" w:rsidRDefault="008D5428" w:rsidP="004D32A7">
            <w:pPr>
              <w:pStyle w:val="Heading1"/>
              <w:spacing w:line="240" w:lineRule="auto"/>
              <w:rPr>
                <w:rFonts w:ascii="Times New Roman" w:hAnsi="Times New Roman"/>
                <w:bCs/>
              </w:rPr>
            </w:pPr>
            <w:r>
              <w:rPr>
                <w:rFonts w:ascii="Times New Roman" w:hAnsi="Times New Roman"/>
                <w:bCs/>
              </w:rPr>
              <w:t>Options valuation</w:t>
            </w:r>
          </w:p>
        </w:tc>
        <w:tc>
          <w:tcPr>
            <w:tcW w:w="951" w:type="dxa"/>
          </w:tcPr>
          <w:p w:rsidR="008D5428" w:rsidRDefault="008D5428" w:rsidP="004D32A7">
            <w:pPr>
              <w:tabs>
                <w:tab w:val="left" w:pos="3940"/>
                <w:tab w:val="left" w:pos="5660"/>
                <w:tab w:val="right" w:pos="8380"/>
              </w:tabs>
              <w:rPr>
                <w:sz w:val="20"/>
              </w:rPr>
            </w:pPr>
          </w:p>
        </w:tc>
      </w:tr>
      <w:tr w:rsidR="008D5428">
        <w:tc>
          <w:tcPr>
            <w:tcW w:w="7196" w:type="dxa"/>
          </w:tcPr>
          <w:p w:rsidR="008D5428" w:rsidRPr="0019455A" w:rsidRDefault="008D5428" w:rsidP="004D32A7">
            <w:pPr>
              <w:tabs>
                <w:tab w:val="left" w:pos="3940"/>
                <w:tab w:val="left" w:pos="5660"/>
                <w:tab w:val="right" w:pos="8380"/>
              </w:tabs>
              <w:rPr>
                <w:sz w:val="20"/>
                <w:lang w:val="en-US"/>
              </w:rPr>
            </w:pPr>
            <w:r w:rsidRPr="0019455A">
              <w:rPr>
                <w:sz w:val="20"/>
                <w:lang w:val="en-US"/>
              </w:rPr>
              <w:t>Adjustment for erosion of time value</w:t>
            </w:r>
          </w:p>
        </w:tc>
        <w:tc>
          <w:tcPr>
            <w:tcW w:w="951" w:type="dxa"/>
          </w:tcPr>
          <w:p w:rsidR="008D5428" w:rsidRDefault="008D5428" w:rsidP="004D32A7">
            <w:pPr>
              <w:tabs>
                <w:tab w:val="left" w:pos="3940"/>
                <w:tab w:val="left" w:pos="5660"/>
                <w:tab w:val="right" w:pos="8380"/>
              </w:tabs>
              <w:rPr>
                <w:sz w:val="20"/>
              </w:rPr>
            </w:pPr>
            <w:r>
              <w:rPr>
                <w:sz w:val="20"/>
              </w:rPr>
              <w:t>1 day</w:t>
            </w:r>
          </w:p>
        </w:tc>
      </w:tr>
      <w:tr w:rsidR="008D5428">
        <w:tc>
          <w:tcPr>
            <w:tcW w:w="7196" w:type="dxa"/>
          </w:tcPr>
          <w:p w:rsidR="008D5428" w:rsidRPr="0019455A" w:rsidRDefault="008D5428" w:rsidP="004D32A7">
            <w:pPr>
              <w:tabs>
                <w:tab w:val="left" w:pos="3940"/>
                <w:tab w:val="left" w:pos="5660"/>
                <w:tab w:val="right" w:pos="8380"/>
              </w:tabs>
              <w:rPr>
                <w:sz w:val="20"/>
                <w:lang w:val="en-US"/>
              </w:rPr>
            </w:pPr>
            <w:r w:rsidRPr="0019455A">
              <w:rPr>
                <w:sz w:val="20"/>
                <w:lang w:val="en-US"/>
              </w:rPr>
              <w:t xml:space="preserve">Risk-free interest rate, </w:t>
            </w:r>
            <w:r w:rsidR="0020345C" w:rsidRPr="0019455A">
              <w:rPr>
                <w:sz w:val="20"/>
                <w:lang w:val="en-US"/>
              </w:rPr>
              <w:t xml:space="preserve">Swedish </w:t>
            </w:r>
            <w:r w:rsidRPr="0019455A">
              <w:rPr>
                <w:sz w:val="20"/>
                <w:lang w:val="en-US"/>
              </w:rPr>
              <w:t>shares</w:t>
            </w:r>
          </w:p>
          <w:p w:rsidR="0020345C" w:rsidRPr="0019455A" w:rsidRDefault="0020345C" w:rsidP="004D32A7">
            <w:pPr>
              <w:tabs>
                <w:tab w:val="left" w:pos="3940"/>
                <w:tab w:val="left" w:pos="5660"/>
                <w:tab w:val="right" w:pos="8380"/>
              </w:tabs>
              <w:rPr>
                <w:sz w:val="20"/>
                <w:lang w:val="en-US"/>
              </w:rPr>
            </w:pPr>
            <w:r w:rsidRPr="0019455A">
              <w:rPr>
                <w:sz w:val="20"/>
                <w:lang w:val="en-US"/>
              </w:rPr>
              <w:t>Risk-free interest rate, Fin</w:t>
            </w:r>
            <w:r w:rsidR="00076D83" w:rsidRPr="0019455A">
              <w:rPr>
                <w:sz w:val="20"/>
                <w:lang w:val="en-US"/>
              </w:rPr>
              <w:t>n</w:t>
            </w:r>
            <w:r w:rsidRPr="0019455A">
              <w:rPr>
                <w:sz w:val="20"/>
                <w:lang w:val="en-US"/>
              </w:rPr>
              <w:t>ish shares</w:t>
            </w:r>
          </w:p>
        </w:tc>
        <w:tc>
          <w:tcPr>
            <w:tcW w:w="951" w:type="dxa"/>
          </w:tcPr>
          <w:p w:rsidR="008D5428" w:rsidRDefault="001E5866" w:rsidP="004D32A7">
            <w:pPr>
              <w:tabs>
                <w:tab w:val="left" w:pos="3940"/>
                <w:tab w:val="left" w:pos="5660"/>
                <w:tab w:val="right" w:pos="8380"/>
              </w:tabs>
              <w:rPr>
                <w:sz w:val="20"/>
              </w:rPr>
            </w:pPr>
            <w:r>
              <w:rPr>
                <w:sz w:val="20"/>
                <w:lang w:val="en-US"/>
              </w:rPr>
              <w:t>0</w:t>
            </w:r>
            <w:r>
              <w:rPr>
                <w:sz w:val="20"/>
              </w:rPr>
              <w:t>,5</w:t>
            </w:r>
            <w:r w:rsidR="008D5428">
              <w:rPr>
                <w:sz w:val="20"/>
              </w:rPr>
              <w:t xml:space="preserve"> %</w:t>
            </w:r>
          </w:p>
          <w:p w:rsidR="0020345C" w:rsidRPr="0057078E" w:rsidRDefault="001E5866" w:rsidP="000C2E25">
            <w:pPr>
              <w:tabs>
                <w:tab w:val="left" w:pos="3940"/>
                <w:tab w:val="left" w:pos="5660"/>
                <w:tab w:val="right" w:pos="8380"/>
              </w:tabs>
              <w:rPr>
                <w:sz w:val="20"/>
              </w:rPr>
            </w:pPr>
            <w:r>
              <w:rPr>
                <w:sz w:val="20"/>
              </w:rPr>
              <w:t>0</w:t>
            </w:r>
            <w:r w:rsidR="0020345C" w:rsidRPr="0057078E">
              <w:rPr>
                <w:sz w:val="20"/>
              </w:rPr>
              <w:t>,</w:t>
            </w:r>
            <w:r>
              <w:rPr>
                <w:sz w:val="20"/>
              </w:rPr>
              <w:t>3</w:t>
            </w:r>
            <w:r w:rsidR="0020345C" w:rsidRPr="0057078E">
              <w:rPr>
                <w:sz w:val="20"/>
              </w:rPr>
              <w:t xml:space="preserve"> %</w:t>
            </w:r>
          </w:p>
        </w:tc>
      </w:tr>
      <w:tr w:rsidR="008D5428">
        <w:tc>
          <w:tcPr>
            <w:tcW w:w="7196" w:type="dxa"/>
          </w:tcPr>
          <w:p w:rsidR="008D5428" w:rsidRDefault="008D5428" w:rsidP="004D32A7">
            <w:pPr>
              <w:tabs>
                <w:tab w:val="left" w:pos="3940"/>
                <w:tab w:val="left" w:pos="5660"/>
                <w:tab w:val="right" w:pos="8380"/>
              </w:tabs>
              <w:rPr>
                <w:sz w:val="20"/>
                <w:lang w:val="en-US"/>
              </w:rPr>
            </w:pPr>
            <w:r w:rsidRPr="0019455A">
              <w:rPr>
                <w:sz w:val="20"/>
                <w:lang w:val="en-US"/>
              </w:rPr>
              <w:t>Risk-free interest rate, Danish shares</w:t>
            </w:r>
          </w:p>
          <w:p w:rsidR="005F2D5E" w:rsidRPr="0019455A" w:rsidRDefault="005F2D5E" w:rsidP="004D32A7">
            <w:pPr>
              <w:tabs>
                <w:tab w:val="left" w:pos="3940"/>
                <w:tab w:val="left" w:pos="5660"/>
                <w:tab w:val="right" w:pos="8380"/>
              </w:tabs>
              <w:rPr>
                <w:sz w:val="20"/>
                <w:lang w:val="en-US"/>
              </w:rPr>
            </w:pPr>
            <w:r>
              <w:rPr>
                <w:sz w:val="20"/>
                <w:lang w:val="en-US"/>
              </w:rPr>
              <w:t>Risk-free interest rate, Norwegian shares</w:t>
            </w:r>
          </w:p>
        </w:tc>
        <w:tc>
          <w:tcPr>
            <w:tcW w:w="951" w:type="dxa"/>
          </w:tcPr>
          <w:p w:rsidR="008D5428" w:rsidRDefault="001E5866" w:rsidP="004D32A7">
            <w:pPr>
              <w:tabs>
                <w:tab w:val="left" w:pos="3940"/>
                <w:tab w:val="left" w:pos="5660"/>
                <w:tab w:val="right" w:pos="8380"/>
              </w:tabs>
              <w:rPr>
                <w:sz w:val="20"/>
              </w:rPr>
            </w:pPr>
            <w:r>
              <w:rPr>
                <w:sz w:val="20"/>
              </w:rPr>
              <w:t>0</w:t>
            </w:r>
            <w:r w:rsidR="00BE482B">
              <w:rPr>
                <w:sz w:val="20"/>
              </w:rPr>
              <w:t>,5</w:t>
            </w:r>
            <w:r w:rsidR="008D5428">
              <w:rPr>
                <w:sz w:val="20"/>
              </w:rPr>
              <w:t xml:space="preserve"> %</w:t>
            </w:r>
          </w:p>
          <w:p w:rsidR="005F2D5E" w:rsidRDefault="005F2D5E" w:rsidP="004D32A7">
            <w:pPr>
              <w:tabs>
                <w:tab w:val="left" w:pos="3940"/>
                <w:tab w:val="left" w:pos="5660"/>
                <w:tab w:val="right" w:pos="8380"/>
              </w:tabs>
              <w:rPr>
                <w:sz w:val="20"/>
              </w:rPr>
            </w:pPr>
            <w:r>
              <w:rPr>
                <w:sz w:val="20"/>
              </w:rPr>
              <w:t>2,0 %</w:t>
            </w:r>
          </w:p>
        </w:tc>
      </w:tr>
      <w:tr w:rsidR="008D5428">
        <w:tc>
          <w:tcPr>
            <w:tcW w:w="7196" w:type="dxa"/>
          </w:tcPr>
          <w:p w:rsidR="008D5428" w:rsidRPr="0019455A" w:rsidRDefault="008D5428" w:rsidP="004D32A7">
            <w:pPr>
              <w:tabs>
                <w:tab w:val="left" w:pos="3940"/>
                <w:tab w:val="left" w:pos="5660"/>
                <w:tab w:val="right" w:pos="8380"/>
              </w:tabs>
              <w:rPr>
                <w:sz w:val="20"/>
                <w:lang w:val="en-US"/>
              </w:rPr>
            </w:pPr>
            <w:r w:rsidRPr="0019455A">
              <w:rPr>
                <w:sz w:val="20"/>
                <w:lang w:val="en-US"/>
              </w:rPr>
              <w:t>Highest value held in relation to written</w:t>
            </w:r>
          </w:p>
        </w:tc>
        <w:tc>
          <w:tcPr>
            <w:tcW w:w="951" w:type="dxa"/>
          </w:tcPr>
          <w:p w:rsidR="008D5428" w:rsidRDefault="008D5428" w:rsidP="004D32A7">
            <w:pPr>
              <w:tabs>
                <w:tab w:val="left" w:pos="3940"/>
                <w:tab w:val="left" w:pos="5660"/>
                <w:tab w:val="right" w:pos="8380"/>
              </w:tabs>
              <w:rPr>
                <w:sz w:val="20"/>
              </w:rPr>
            </w:pPr>
            <w:r>
              <w:rPr>
                <w:sz w:val="20"/>
              </w:rPr>
              <w:t>95 %</w:t>
            </w:r>
          </w:p>
        </w:tc>
      </w:tr>
      <w:tr w:rsidR="008D5428">
        <w:tc>
          <w:tcPr>
            <w:tcW w:w="7196" w:type="dxa"/>
          </w:tcPr>
          <w:p w:rsidR="008D5428" w:rsidRDefault="008D5428" w:rsidP="004D32A7">
            <w:pPr>
              <w:tabs>
                <w:tab w:val="left" w:pos="3940"/>
                <w:tab w:val="left" w:pos="5660"/>
                <w:tab w:val="right" w:pos="8380"/>
              </w:tabs>
              <w:rPr>
                <w:sz w:val="20"/>
              </w:rPr>
            </w:pPr>
            <w:r>
              <w:rPr>
                <w:sz w:val="20"/>
              </w:rPr>
              <w:t>Lowest value written</w:t>
            </w:r>
          </w:p>
        </w:tc>
        <w:tc>
          <w:tcPr>
            <w:tcW w:w="951" w:type="dxa"/>
          </w:tcPr>
          <w:p w:rsidR="008D5428" w:rsidRDefault="008D5428" w:rsidP="004D32A7">
            <w:pPr>
              <w:tabs>
                <w:tab w:val="left" w:pos="3940"/>
                <w:tab w:val="left" w:pos="5660"/>
                <w:tab w:val="right" w:pos="8380"/>
              </w:tabs>
              <w:rPr>
                <w:sz w:val="20"/>
              </w:rPr>
            </w:pPr>
            <w:r>
              <w:rPr>
                <w:sz w:val="20"/>
              </w:rPr>
              <w:t>0,01</w:t>
            </w:r>
          </w:p>
        </w:tc>
      </w:tr>
      <w:tr w:rsidR="008D5428">
        <w:tc>
          <w:tcPr>
            <w:tcW w:w="7196" w:type="dxa"/>
          </w:tcPr>
          <w:p w:rsidR="008D5428" w:rsidRDefault="008D5428" w:rsidP="004D32A7">
            <w:pPr>
              <w:tabs>
                <w:tab w:val="left" w:pos="3940"/>
                <w:tab w:val="left" w:pos="5660"/>
                <w:tab w:val="right" w:pos="8380"/>
              </w:tabs>
              <w:rPr>
                <w:sz w:val="20"/>
              </w:rPr>
            </w:pPr>
            <w:r>
              <w:rPr>
                <w:sz w:val="20"/>
              </w:rPr>
              <w:t>Erosion held</w:t>
            </w:r>
          </w:p>
        </w:tc>
        <w:tc>
          <w:tcPr>
            <w:tcW w:w="951" w:type="dxa"/>
          </w:tcPr>
          <w:p w:rsidR="008D5428" w:rsidRDefault="008D5428" w:rsidP="004D32A7">
            <w:pPr>
              <w:tabs>
                <w:tab w:val="left" w:pos="3940"/>
                <w:tab w:val="left" w:pos="5660"/>
                <w:tab w:val="right" w:pos="8380"/>
              </w:tabs>
              <w:rPr>
                <w:sz w:val="20"/>
              </w:rPr>
            </w:pPr>
            <w:r>
              <w:rPr>
                <w:sz w:val="20"/>
              </w:rPr>
              <w:t>YES</w:t>
            </w:r>
          </w:p>
        </w:tc>
      </w:tr>
      <w:tr w:rsidR="008D5428">
        <w:tc>
          <w:tcPr>
            <w:tcW w:w="7196" w:type="dxa"/>
          </w:tcPr>
          <w:p w:rsidR="008D5428" w:rsidRPr="0019455A" w:rsidRDefault="008D5428" w:rsidP="004D32A7">
            <w:pPr>
              <w:tabs>
                <w:tab w:val="left" w:pos="3940"/>
                <w:tab w:val="left" w:pos="5660"/>
                <w:tab w:val="right" w:pos="8380"/>
              </w:tabs>
              <w:rPr>
                <w:sz w:val="20"/>
                <w:lang w:val="en-US"/>
              </w:rPr>
            </w:pPr>
            <w:r w:rsidRPr="0019455A">
              <w:rPr>
                <w:sz w:val="20"/>
                <w:lang w:val="en-US"/>
              </w:rPr>
              <w:t>Adjustment for negative time value</w:t>
            </w:r>
          </w:p>
        </w:tc>
        <w:tc>
          <w:tcPr>
            <w:tcW w:w="951" w:type="dxa"/>
          </w:tcPr>
          <w:p w:rsidR="008D5428" w:rsidRDefault="008D5428" w:rsidP="004D32A7">
            <w:pPr>
              <w:tabs>
                <w:tab w:val="left" w:pos="3940"/>
                <w:tab w:val="left" w:pos="5660"/>
                <w:tab w:val="right" w:pos="8380"/>
              </w:tabs>
              <w:rPr>
                <w:sz w:val="20"/>
              </w:rPr>
            </w:pPr>
            <w:r>
              <w:rPr>
                <w:sz w:val="20"/>
              </w:rPr>
              <w:t>YES</w:t>
            </w:r>
          </w:p>
        </w:tc>
      </w:tr>
      <w:tr w:rsidR="008D5428">
        <w:tc>
          <w:tcPr>
            <w:tcW w:w="7196" w:type="dxa"/>
          </w:tcPr>
          <w:p w:rsidR="008D5428" w:rsidRPr="0019455A" w:rsidRDefault="008D5428" w:rsidP="004D32A7">
            <w:pPr>
              <w:tabs>
                <w:tab w:val="left" w:pos="3940"/>
                <w:tab w:val="left" w:pos="5660"/>
                <w:tab w:val="right" w:pos="8380"/>
              </w:tabs>
              <w:rPr>
                <w:sz w:val="20"/>
                <w:lang w:val="en-US"/>
              </w:rPr>
            </w:pPr>
            <w:r w:rsidRPr="0019455A">
              <w:rPr>
                <w:sz w:val="20"/>
                <w:lang w:val="en-US"/>
              </w:rPr>
              <w:t>Simulated increased</w:t>
            </w:r>
            <w:r w:rsidR="007B756F" w:rsidRPr="0019455A">
              <w:rPr>
                <w:sz w:val="20"/>
                <w:lang w:val="en-US"/>
              </w:rPr>
              <w:t>/reduced</w:t>
            </w:r>
            <w:r w:rsidRPr="0019455A">
              <w:rPr>
                <w:sz w:val="20"/>
                <w:lang w:val="en-US"/>
              </w:rPr>
              <w:t xml:space="preserve"> standard deviation</w:t>
            </w:r>
          </w:p>
        </w:tc>
        <w:tc>
          <w:tcPr>
            <w:tcW w:w="951" w:type="dxa"/>
          </w:tcPr>
          <w:p w:rsidR="008D5428" w:rsidRDefault="008D5428" w:rsidP="004D32A7">
            <w:pPr>
              <w:tabs>
                <w:tab w:val="left" w:pos="3940"/>
                <w:tab w:val="left" w:pos="5660"/>
                <w:tab w:val="right" w:pos="8380"/>
              </w:tabs>
              <w:rPr>
                <w:sz w:val="20"/>
              </w:rPr>
            </w:pPr>
            <w:r>
              <w:rPr>
                <w:sz w:val="20"/>
              </w:rPr>
              <w:t>10 %</w:t>
            </w:r>
          </w:p>
        </w:tc>
      </w:tr>
    </w:tbl>
    <w:p w:rsidR="008D5428" w:rsidRDefault="008D5428" w:rsidP="004D32A7">
      <w:pPr>
        <w:tabs>
          <w:tab w:val="left" w:pos="3940"/>
          <w:tab w:val="left" w:pos="5660"/>
          <w:tab w:val="right" w:pos="8380"/>
        </w:tabs>
        <w:rPr>
          <w:sz w:val="20"/>
        </w:rPr>
      </w:pPr>
    </w:p>
    <w:tbl>
      <w:tblPr>
        <w:tblW w:w="0" w:type="auto"/>
        <w:tblLook w:val="0000" w:firstRow="0" w:lastRow="0" w:firstColumn="0" w:lastColumn="0" w:noHBand="0" w:noVBand="0"/>
      </w:tblPr>
      <w:tblGrid>
        <w:gridCol w:w="6062"/>
        <w:gridCol w:w="1141"/>
        <w:gridCol w:w="944"/>
      </w:tblGrid>
      <w:tr w:rsidR="0061417C" w:rsidTr="0061417C">
        <w:tc>
          <w:tcPr>
            <w:tcW w:w="6062" w:type="dxa"/>
          </w:tcPr>
          <w:p w:rsidR="0061417C" w:rsidRDefault="0061417C" w:rsidP="004D32A7">
            <w:pPr>
              <w:pStyle w:val="Heading1"/>
              <w:spacing w:line="240" w:lineRule="auto"/>
              <w:rPr>
                <w:rFonts w:ascii="Times New Roman" w:hAnsi="Times New Roman"/>
                <w:bCs/>
              </w:rPr>
            </w:pPr>
            <w:r>
              <w:rPr>
                <w:rFonts w:ascii="Times New Roman" w:hAnsi="Times New Roman"/>
                <w:bCs/>
              </w:rPr>
              <w:t>Futures valuation</w:t>
            </w:r>
          </w:p>
        </w:tc>
        <w:tc>
          <w:tcPr>
            <w:tcW w:w="1141" w:type="dxa"/>
          </w:tcPr>
          <w:p w:rsidR="0061417C" w:rsidRPr="0061417C" w:rsidRDefault="0061417C" w:rsidP="004D32A7">
            <w:pPr>
              <w:tabs>
                <w:tab w:val="left" w:pos="3940"/>
                <w:tab w:val="left" w:pos="5660"/>
                <w:tab w:val="right" w:pos="8380"/>
              </w:tabs>
              <w:rPr>
                <w:b/>
                <w:sz w:val="20"/>
              </w:rPr>
            </w:pPr>
            <w:r w:rsidRPr="0061417C">
              <w:rPr>
                <w:b/>
                <w:sz w:val="20"/>
              </w:rPr>
              <w:t>OMXS30</w:t>
            </w:r>
          </w:p>
        </w:tc>
        <w:tc>
          <w:tcPr>
            <w:tcW w:w="944" w:type="dxa"/>
          </w:tcPr>
          <w:p w:rsidR="0061417C" w:rsidRPr="0061417C" w:rsidRDefault="0061417C" w:rsidP="004D32A7">
            <w:pPr>
              <w:tabs>
                <w:tab w:val="left" w:pos="3940"/>
                <w:tab w:val="left" w:pos="5660"/>
                <w:tab w:val="right" w:pos="8380"/>
              </w:tabs>
              <w:rPr>
                <w:b/>
                <w:sz w:val="20"/>
              </w:rPr>
            </w:pPr>
            <w:r w:rsidRPr="0061417C">
              <w:rPr>
                <w:b/>
                <w:sz w:val="20"/>
              </w:rPr>
              <w:t>Other</w:t>
            </w:r>
          </w:p>
        </w:tc>
      </w:tr>
      <w:tr w:rsidR="0061417C" w:rsidTr="0061417C">
        <w:tc>
          <w:tcPr>
            <w:tcW w:w="6062" w:type="dxa"/>
          </w:tcPr>
          <w:p w:rsidR="0061417C" w:rsidRDefault="0061417C" w:rsidP="004D32A7">
            <w:pPr>
              <w:tabs>
                <w:tab w:val="left" w:pos="3940"/>
                <w:tab w:val="left" w:pos="5660"/>
                <w:tab w:val="right" w:pos="8380"/>
              </w:tabs>
              <w:rPr>
                <w:sz w:val="20"/>
              </w:rPr>
            </w:pPr>
            <w:r>
              <w:rPr>
                <w:sz w:val="20"/>
              </w:rPr>
              <w:t>Adjustment of bought futures</w:t>
            </w:r>
          </w:p>
        </w:tc>
        <w:tc>
          <w:tcPr>
            <w:tcW w:w="1141" w:type="dxa"/>
          </w:tcPr>
          <w:p w:rsidR="0061417C" w:rsidRDefault="0061417C" w:rsidP="004D32A7">
            <w:pPr>
              <w:tabs>
                <w:tab w:val="left" w:pos="3940"/>
                <w:tab w:val="left" w:pos="5660"/>
                <w:tab w:val="right" w:pos="8380"/>
              </w:tabs>
              <w:rPr>
                <w:sz w:val="20"/>
              </w:rPr>
            </w:pPr>
            <w:r>
              <w:rPr>
                <w:sz w:val="20"/>
              </w:rPr>
              <w:t>0,995</w:t>
            </w:r>
          </w:p>
        </w:tc>
        <w:tc>
          <w:tcPr>
            <w:tcW w:w="944" w:type="dxa"/>
          </w:tcPr>
          <w:p w:rsidR="0061417C" w:rsidRDefault="0061417C" w:rsidP="004D32A7">
            <w:pPr>
              <w:tabs>
                <w:tab w:val="left" w:pos="3940"/>
                <w:tab w:val="left" w:pos="5660"/>
                <w:tab w:val="right" w:pos="8380"/>
              </w:tabs>
              <w:rPr>
                <w:sz w:val="20"/>
              </w:rPr>
            </w:pPr>
            <w:r>
              <w:rPr>
                <w:sz w:val="20"/>
              </w:rPr>
              <w:t>0,98</w:t>
            </w:r>
          </w:p>
        </w:tc>
      </w:tr>
      <w:tr w:rsidR="0061417C" w:rsidTr="0061417C">
        <w:tc>
          <w:tcPr>
            <w:tcW w:w="6062" w:type="dxa"/>
          </w:tcPr>
          <w:p w:rsidR="0061417C" w:rsidRDefault="0061417C" w:rsidP="004D32A7">
            <w:pPr>
              <w:tabs>
                <w:tab w:val="left" w:pos="3940"/>
                <w:tab w:val="left" w:pos="5660"/>
                <w:tab w:val="right" w:pos="8380"/>
              </w:tabs>
              <w:rPr>
                <w:sz w:val="20"/>
              </w:rPr>
            </w:pPr>
            <w:r>
              <w:rPr>
                <w:sz w:val="20"/>
              </w:rPr>
              <w:t>Adjustment of sold futures</w:t>
            </w:r>
          </w:p>
        </w:tc>
        <w:tc>
          <w:tcPr>
            <w:tcW w:w="1141" w:type="dxa"/>
          </w:tcPr>
          <w:p w:rsidR="0061417C" w:rsidRDefault="0061417C" w:rsidP="004D32A7">
            <w:pPr>
              <w:tabs>
                <w:tab w:val="left" w:pos="3940"/>
                <w:tab w:val="left" w:pos="5660"/>
                <w:tab w:val="right" w:pos="8380"/>
              </w:tabs>
              <w:rPr>
                <w:sz w:val="20"/>
              </w:rPr>
            </w:pPr>
            <w:r>
              <w:rPr>
                <w:sz w:val="20"/>
              </w:rPr>
              <w:t>1,005</w:t>
            </w:r>
          </w:p>
        </w:tc>
        <w:tc>
          <w:tcPr>
            <w:tcW w:w="944" w:type="dxa"/>
          </w:tcPr>
          <w:p w:rsidR="0061417C" w:rsidRDefault="0061417C" w:rsidP="004D32A7">
            <w:pPr>
              <w:tabs>
                <w:tab w:val="left" w:pos="3940"/>
                <w:tab w:val="left" w:pos="5660"/>
                <w:tab w:val="right" w:pos="8380"/>
              </w:tabs>
              <w:rPr>
                <w:sz w:val="20"/>
              </w:rPr>
            </w:pPr>
            <w:r>
              <w:rPr>
                <w:sz w:val="20"/>
              </w:rPr>
              <w:t>1,02</w:t>
            </w:r>
          </w:p>
        </w:tc>
      </w:tr>
    </w:tbl>
    <w:p w:rsidR="008D5428" w:rsidRDefault="008D5428" w:rsidP="004D32A7">
      <w:pPr>
        <w:tabs>
          <w:tab w:val="left" w:pos="3940"/>
          <w:tab w:val="left" w:pos="5660"/>
          <w:tab w:val="right" w:pos="8380"/>
        </w:tabs>
        <w:rPr>
          <w:sz w:val="20"/>
        </w:rPr>
      </w:pPr>
    </w:p>
    <w:tbl>
      <w:tblPr>
        <w:tblW w:w="0" w:type="auto"/>
        <w:tblLook w:val="0000" w:firstRow="0" w:lastRow="0" w:firstColumn="0" w:lastColumn="0" w:noHBand="0" w:noVBand="0"/>
      </w:tblPr>
      <w:tblGrid>
        <w:gridCol w:w="7196"/>
        <w:gridCol w:w="951"/>
      </w:tblGrid>
      <w:tr w:rsidR="008D5428" w:rsidRPr="005F57F2">
        <w:tc>
          <w:tcPr>
            <w:tcW w:w="7196" w:type="dxa"/>
          </w:tcPr>
          <w:p w:rsidR="008D5428" w:rsidRPr="0019455A" w:rsidRDefault="008D5428" w:rsidP="004D32A7">
            <w:pPr>
              <w:pStyle w:val="Heading1"/>
              <w:spacing w:line="240" w:lineRule="auto"/>
              <w:rPr>
                <w:rFonts w:ascii="Times New Roman" w:hAnsi="Times New Roman"/>
                <w:bCs/>
                <w:lang w:val="en-US"/>
              </w:rPr>
            </w:pPr>
            <w:r w:rsidRPr="0019455A">
              <w:rPr>
                <w:rFonts w:ascii="Times New Roman" w:hAnsi="Times New Roman"/>
                <w:bCs/>
                <w:lang w:val="en-US"/>
              </w:rPr>
              <w:t>Additional collateral at exercise/closing/delivery (options and futures)*</w:t>
            </w:r>
          </w:p>
        </w:tc>
        <w:tc>
          <w:tcPr>
            <w:tcW w:w="951" w:type="dxa"/>
          </w:tcPr>
          <w:p w:rsidR="008D5428" w:rsidRPr="0019455A" w:rsidRDefault="008D5428" w:rsidP="004D32A7">
            <w:pPr>
              <w:tabs>
                <w:tab w:val="left" w:pos="3940"/>
                <w:tab w:val="left" w:pos="5660"/>
                <w:tab w:val="right" w:pos="8380"/>
              </w:tabs>
              <w:rPr>
                <w:sz w:val="20"/>
                <w:lang w:val="en-US"/>
              </w:rPr>
            </w:pPr>
          </w:p>
        </w:tc>
      </w:tr>
      <w:tr w:rsidR="008D5428">
        <w:tc>
          <w:tcPr>
            <w:tcW w:w="7196" w:type="dxa"/>
          </w:tcPr>
          <w:p w:rsidR="008D5428" w:rsidRPr="0019455A" w:rsidRDefault="008D5428" w:rsidP="004D32A7">
            <w:pPr>
              <w:tabs>
                <w:tab w:val="left" w:pos="3940"/>
                <w:tab w:val="left" w:pos="5660"/>
                <w:tab w:val="right" w:pos="8380"/>
              </w:tabs>
              <w:rPr>
                <w:sz w:val="20"/>
                <w:lang w:val="en-US"/>
              </w:rPr>
            </w:pPr>
            <w:r w:rsidRPr="0019455A">
              <w:rPr>
                <w:sz w:val="20"/>
                <w:lang w:val="en-US"/>
              </w:rPr>
              <w:t>Cash settlement amount (C) stock products</w:t>
            </w:r>
          </w:p>
        </w:tc>
        <w:tc>
          <w:tcPr>
            <w:tcW w:w="951" w:type="dxa"/>
          </w:tcPr>
          <w:p w:rsidR="008D5428" w:rsidRDefault="008D5428" w:rsidP="004D32A7">
            <w:pPr>
              <w:tabs>
                <w:tab w:val="left" w:pos="3940"/>
                <w:tab w:val="left" w:pos="5660"/>
                <w:tab w:val="right" w:pos="8380"/>
              </w:tabs>
              <w:rPr>
                <w:sz w:val="20"/>
              </w:rPr>
            </w:pPr>
            <w:r>
              <w:rPr>
                <w:sz w:val="20"/>
              </w:rPr>
              <w:t>-</w:t>
            </w:r>
          </w:p>
        </w:tc>
      </w:tr>
      <w:tr w:rsidR="008D5428">
        <w:tc>
          <w:tcPr>
            <w:tcW w:w="7196" w:type="dxa"/>
          </w:tcPr>
          <w:p w:rsidR="008D5428" w:rsidRPr="0019455A" w:rsidRDefault="008D5428" w:rsidP="004D32A7">
            <w:pPr>
              <w:tabs>
                <w:tab w:val="left" w:pos="3940"/>
                <w:tab w:val="left" w:pos="5660"/>
                <w:tab w:val="right" w:pos="8380"/>
              </w:tabs>
              <w:rPr>
                <w:sz w:val="20"/>
                <w:lang w:val="en-US"/>
              </w:rPr>
            </w:pPr>
            <w:r w:rsidRPr="0019455A">
              <w:rPr>
                <w:sz w:val="20"/>
                <w:lang w:val="en-US"/>
              </w:rPr>
              <w:t>Cash settlement amount (C) stock index products</w:t>
            </w:r>
          </w:p>
        </w:tc>
        <w:tc>
          <w:tcPr>
            <w:tcW w:w="951" w:type="dxa"/>
          </w:tcPr>
          <w:p w:rsidR="008D5428" w:rsidRDefault="008D5428" w:rsidP="004D32A7">
            <w:pPr>
              <w:tabs>
                <w:tab w:val="left" w:pos="3940"/>
                <w:tab w:val="left" w:pos="5660"/>
                <w:tab w:val="right" w:pos="8380"/>
              </w:tabs>
              <w:rPr>
                <w:sz w:val="20"/>
              </w:rPr>
            </w:pPr>
            <w:r>
              <w:rPr>
                <w:sz w:val="20"/>
              </w:rPr>
              <w:t>C</w:t>
            </w:r>
          </w:p>
        </w:tc>
      </w:tr>
      <w:tr w:rsidR="00292D2E">
        <w:tc>
          <w:tcPr>
            <w:tcW w:w="7196" w:type="dxa"/>
          </w:tcPr>
          <w:p w:rsidR="00292D2E" w:rsidRPr="0019455A" w:rsidRDefault="00292D2E" w:rsidP="004D32A7">
            <w:pPr>
              <w:tabs>
                <w:tab w:val="left" w:pos="3940"/>
                <w:tab w:val="left" w:pos="5660"/>
                <w:tab w:val="right" w:pos="8380"/>
              </w:tabs>
              <w:rPr>
                <w:sz w:val="20"/>
                <w:lang w:val="en-US"/>
              </w:rPr>
            </w:pPr>
            <w:r w:rsidRPr="0019455A">
              <w:rPr>
                <w:sz w:val="20"/>
                <w:lang w:val="en-US"/>
              </w:rPr>
              <w:t>Margin collateral demand at delivery (D) other stock products</w:t>
            </w:r>
          </w:p>
        </w:tc>
        <w:tc>
          <w:tcPr>
            <w:tcW w:w="951" w:type="dxa"/>
          </w:tcPr>
          <w:p w:rsidR="00292D2E" w:rsidRDefault="002B1789" w:rsidP="004D32A7">
            <w:pPr>
              <w:tabs>
                <w:tab w:val="left" w:pos="3940"/>
                <w:tab w:val="left" w:pos="5660"/>
                <w:tab w:val="right" w:pos="8380"/>
              </w:tabs>
              <w:rPr>
                <w:sz w:val="20"/>
              </w:rPr>
            </w:pPr>
            <w:r>
              <w:rPr>
                <w:sz w:val="20"/>
              </w:rPr>
              <w:t>D</w:t>
            </w:r>
          </w:p>
        </w:tc>
      </w:tr>
    </w:tbl>
    <w:p w:rsidR="008D5428" w:rsidRDefault="008D5428" w:rsidP="004D32A7">
      <w:pPr>
        <w:tabs>
          <w:tab w:val="left" w:pos="3940"/>
          <w:tab w:val="left" w:pos="5660"/>
          <w:tab w:val="right" w:pos="8380"/>
        </w:tabs>
        <w:rPr>
          <w:sz w:val="20"/>
        </w:rPr>
      </w:pPr>
    </w:p>
    <w:p w:rsidR="008D5428" w:rsidRPr="006B3FE2" w:rsidRDefault="008D5428" w:rsidP="004D32A7">
      <w:pPr>
        <w:tabs>
          <w:tab w:val="left" w:pos="3940"/>
          <w:tab w:val="left" w:pos="5660"/>
          <w:tab w:val="right" w:pos="8380"/>
        </w:tabs>
        <w:rPr>
          <w:sz w:val="20"/>
          <w:lang w:val="en-US"/>
        </w:rPr>
      </w:pPr>
      <w:r w:rsidRPr="0019455A">
        <w:rPr>
          <w:sz w:val="20"/>
          <w:lang w:val="en-US"/>
        </w:rPr>
        <w:t xml:space="preserve">*) </w:t>
      </w:r>
      <w:r w:rsidR="006B3FE2">
        <w:rPr>
          <w:sz w:val="20"/>
          <w:lang w:val="en-US"/>
        </w:rPr>
        <w:t>Nasdaq</w:t>
      </w:r>
      <w:r w:rsidR="006A1A33" w:rsidRPr="0019455A">
        <w:rPr>
          <w:sz w:val="20"/>
          <w:lang w:val="en-US"/>
        </w:rPr>
        <w:t xml:space="preserve"> reserves the right to immediately apply additional collateral for daily cash settlements on stock and stock index products. </w:t>
      </w:r>
      <w:r w:rsidRPr="006B3FE2">
        <w:rPr>
          <w:sz w:val="20"/>
          <w:lang w:val="en-US"/>
        </w:rPr>
        <w:t>Additional collateral d</w:t>
      </w:r>
      <w:r w:rsidR="007B6348" w:rsidRPr="006B3FE2">
        <w:rPr>
          <w:sz w:val="20"/>
          <w:lang w:val="en-US"/>
        </w:rPr>
        <w:t>oes not apply for binary options</w:t>
      </w:r>
    </w:p>
    <w:p w:rsidR="008D5428" w:rsidRPr="006B3FE2" w:rsidRDefault="008D5428" w:rsidP="004D32A7">
      <w:pPr>
        <w:tabs>
          <w:tab w:val="left" w:pos="3940"/>
          <w:tab w:val="left" w:pos="5660"/>
          <w:tab w:val="right" w:pos="8380"/>
        </w:tabs>
        <w:rPr>
          <w:sz w:val="20"/>
          <w:lang w:val="en-US"/>
        </w:rPr>
      </w:pPr>
    </w:p>
    <w:tbl>
      <w:tblPr>
        <w:tblW w:w="0" w:type="auto"/>
        <w:tblLook w:val="0000" w:firstRow="0" w:lastRow="0" w:firstColumn="0" w:lastColumn="0" w:noHBand="0" w:noVBand="0"/>
      </w:tblPr>
      <w:tblGrid>
        <w:gridCol w:w="3227"/>
        <w:gridCol w:w="3969"/>
        <w:gridCol w:w="951"/>
      </w:tblGrid>
      <w:tr w:rsidR="008D5428" w:rsidRPr="005F57F2">
        <w:trPr>
          <w:cantSplit/>
        </w:trPr>
        <w:tc>
          <w:tcPr>
            <w:tcW w:w="7196" w:type="dxa"/>
            <w:gridSpan w:val="2"/>
          </w:tcPr>
          <w:p w:rsidR="008D5428" w:rsidRPr="0019455A" w:rsidRDefault="006C2979" w:rsidP="004D32A7">
            <w:pPr>
              <w:tabs>
                <w:tab w:val="left" w:pos="3940"/>
                <w:tab w:val="left" w:pos="5660"/>
                <w:tab w:val="right" w:pos="8380"/>
              </w:tabs>
              <w:rPr>
                <w:sz w:val="20"/>
                <w:lang w:val="en-US"/>
              </w:rPr>
            </w:pPr>
            <w:r w:rsidRPr="002950C2">
              <w:rPr>
                <w:lang w:val="en-US"/>
              </w:rPr>
              <w:br w:type="page"/>
            </w:r>
            <w:r w:rsidR="008D5428" w:rsidRPr="0019455A">
              <w:rPr>
                <w:b/>
                <w:bCs/>
                <w:sz w:val="20"/>
                <w:lang w:val="en-US"/>
              </w:rPr>
              <w:t>Calculation of covariance, OMS II</w:t>
            </w:r>
          </w:p>
        </w:tc>
        <w:tc>
          <w:tcPr>
            <w:tcW w:w="951" w:type="dxa"/>
          </w:tcPr>
          <w:p w:rsidR="008D5428" w:rsidRPr="0019455A" w:rsidRDefault="008D5428" w:rsidP="004D32A7">
            <w:pPr>
              <w:tabs>
                <w:tab w:val="left" w:pos="3940"/>
                <w:tab w:val="left" w:pos="5660"/>
                <w:tab w:val="right" w:pos="8380"/>
              </w:tabs>
              <w:rPr>
                <w:sz w:val="20"/>
                <w:lang w:val="en-US"/>
              </w:rPr>
            </w:pPr>
          </w:p>
        </w:tc>
      </w:tr>
      <w:tr w:rsidR="008D5428" w:rsidRPr="005F57F2">
        <w:trPr>
          <w:cantSplit/>
        </w:trPr>
        <w:tc>
          <w:tcPr>
            <w:tcW w:w="8147" w:type="dxa"/>
            <w:gridSpan w:val="3"/>
          </w:tcPr>
          <w:p w:rsidR="008D5428" w:rsidRPr="0019455A" w:rsidRDefault="008D5428" w:rsidP="004D32A7">
            <w:pPr>
              <w:tabs>
                <w:tab w:val="left" w:pos="3940"/>
                <w:tab w:val="left" w:pos="5660"/>
                <w:tab w:val="right" w:pos="8380"/>
              </w:tabs>
              <w:rPr>
                <w:sz w:val="20"/>
                <w:lang w:val="en-US"/>
              </w:rPr>
            </w:pPr>
            <w:r w:rsidRPr="0019455A">
              <w:rPr>
                <w:sz w:val="20"/>
                <w:lang w:val="en-US"/>
              </w:rPr>
              <w:t>Size of window applied to different underlyings</w:t>
            </w:r>
          </w:p>
        </w:tc>
      </w:tr>
      <w:tr w:rsidR="008D5428" w:rsidRPr="005F57F2">
        <w:tc>
          <w:tcPr>
            <w:tcW w:w="3227" w:type="dxa"/>
          </w:tcPr>
          <w:p w:rsidR="008D5428" w:rsidRPr="0019455A" w:rsidRDefault="008D5428" w:rsidP="004D32A7">
            <w:pPr>
              <w:tabs>
                <w:tab w:val="left" w:pos="3940"/>
                <w:tab w:val="left" w:pos="5660"/>
                <w:tab w:val="right" w:pos="8380"/>
              </w:tabs>
              <w:rPr>
                <w:sz w:val="20"/>
                <w:lang w:val="en-US"/>
              </w:rPr>
            </w:pPr>
          </w:p>
        </w:tc>
        <w:tc>
          <w:tcPr>
            <w:tcW w:w="3969" w:type="dxa"/>
          </w:tcPr>
          <w:p w:rsidR="008D5428" w:rsidRPr="0019455A" w:rsidRDefault="008D5428" w:rsidP="004D32A7">
            <w:pPr>
              <w:tabs>
                <w:tab w:val="left" w:pos="3940"/>
                <w:tab w:val="left" w:pos="5660"/>
                <w:tab w:val="right" w:pos="8380"/>
              </w:tabs>
              <w:rPr>
                <w:sz w:val="20"/>
                <w:lang w:val="en-US"/>
              </w:rPr>
            </w:pPr>
          </w:p>
        </w:tc>
        <w:tc>
          <w:tcPr>
            <w:tcW w:w="951" w:type="dxa"/>
          </w:tcPr>
          <w:p w:rsidR="008D5428" w:rsidRPr="0019455A" w:rsidRDefault="008D5428" w:rsidP="004D32A7">
            <w:pPr>
              <w:tabs>
                <w:tab w:val="left" w:pos="3940"/>
                <w:tab w:val="left" w:pos="5660"/>
                <w:tab w:val="right" w:pos="8380"/>
              </w:tabs>
              <w:rPr>
                <w:sz w:val="20"/>
                <w:lang w:val="en-US"/>
              </w:rPr>
            </w:pPr>
          </w:p>
        </w:tc>
      </w:tr>
      <w:tr w:rsidR="008D5428" w:rsidRPr="005F57F2">
        <w:trPr>
          <w:cantSplit/>
        </w:trPr>
        <w:tc>
          <w:tcPr>
            <w:tcW w:w="3227" w:type="dxa"/>
            <w:tcBorders>
              <w:bottom w:val="single" w:sz="4" w:space="0" w:color="auto"/>
            </w:tcBorders>
          </w:tcPr>
          <w:p w:rsidR="008D5428" w:rsidRDefault="007E455A" w:rsidP="004D32A7">
            <w:pPr>
              <w:tabs>
                <w:tab w:val="left" w:pos="3940"/>
                <w:tab w:val="left" w:pos="5660"/>
                <w:tab w:val="right" w:pos="8380"/>
              </w:tabs>
              <w:rPr>
                <w:sz w:val="20"/>
              </w:rPr>
            </w:pPr>
            <w:r>
              <w:rPr>
                <w:sz w:val="20"/>
              </w:rPr>
              <w:t>Group</w:t>
            </w:r>
          </w:p>
        </w:tc>
        <w:tc>
          <w:tcPr>
            <w:tcW w:w="4920" w:type="dxa"/>
            <w:gridSpan w:val="2"/>
            <w:tcBorders>
              <w:bottom w:val="single" w:sz="4" w:space="0" w:color="auto"/>
            </w:tcBorders>
          </w:tcPr>
          <w:p w:rsidR="008D5428" w:rsidRPr="0019455A" w:rsidRDefault="007E455A" w:rsidP="004D32A7">
            <w:pPr>
              <w:tabs>
                <w:tab w:val="left" w:pos="3940"/>
                <w:tab w:val="left" w:pos="5660"/>
                <w:tab w:val="right" w:pos="8380"/>
              </w:tabs>
              <w:rPr>
                <w:sz w:val="20"/>
                <w:lang w:val="en-US"/>
              </w:rPr>
            </w:pPr>
            <w:r w:rsidRPr="0019455A">
              <w:rPr>
                <w:sz w:val="20"/>
                <w:lang w:val="en-US"/>
              </w:rPr>
              <w:t>Group</w:t>
            </w:r>
            <w:r w:rsidR="007B2AA8" w:rsidRPr="0019455A">
              <w:rPr>
                <w:sz w:val="20"/>
                <w:lang w:val="en-US"/>
              </w:rPr>
              <w:t xml:space="preserve"> </w:t>
            </w:r>
            <w:r w:rsidR="00291E01" w:rsidRPr="0019455A">
              <w:rPr>
                <w:sz w:val="20"/>
                <w:lang w:val="en-US"/>
              </w:rPr>
              <w:t>c</w:t>
            </w:r>
            <w:r w:rsidR="008D5428" w:rsidRPr="0019455A">
              <w:rPr>
                <w:sz w:val="20"/>
                <w:lang w:val="en-US"/>
              </w:rPr>
              <w:t xml:space="preserve">ontents            </w:t>
            </w:r>
            <w:r w:rsidR="00864903" w:rsidRPr="0019455A">
              <w:rPr>
                <w:sz w:val="20"/>
                <w:lang w:val="en-US"/>
              </w:rPr>
              <w:t xml:space="preserve">                              </w:t>
            </w:r>
            <w:r w:rsidR="008D5428" w:rsidRPr="0019455A">
              <w:rPr>
                <w:sz w:val="20"/>
                <w:lang w:val="en-US"/>
              </w:rPr>
              <w:t xml:space="preserve">Size of </w:t>
            </w:r>
            <w:r w:rsidR="00864903" w:rsidRPr="0019455A">
              <w:rPr>
                <w:sz w:val="20"/>
                <w:lang w:val="en-US"/>
              </w:rPr>
              <w:t>window</w:t>
            </w:r>
          </w:p>
        </w:tc>
      </w:tr>
      <w:tr w:rsidR="008D5428">
        <w:tc>
          <w:tcPr>
            <w:tcW w:w="3227" w:type="dxa"/>
            <w:tcBorders>
              <w:top w:val="single" w:sz="4" w:space="0" w:color="auto"/>
              <w:bottom w:val="single" w:sz="4" w:space="0" w:color="auto"/>
            </w:tcBorders>
          </w:tcPr>
          <w:p w:rsidR="008D5428" w:rsidRDefault="00F25A94" w:rsidP="004D32A7">
            <w:pPr>
              <w:tabs>
                <w:tab w:val="left" w:pos="3940"/>
                <w:tab w:val="left" w:pos="5660"/>
                <w:tab w:val="right" w:pos="8380"/>
              </w:tabs>
              <w:rPr>
                <w:sz w:val="20"/>
              </w:rPr>
            </w:pPr>
            <w:r>
              <w:rPr>
                <w:sz w:val="20"/>
              </w:rPr>
              <w:t>-</w:t>
            </w:r>
          </w:p>
        </w:tc>
        <w:tc>
          <w:tcPr>
            <w:tcW w:w="3969" w:type="dxa"/>
            <w:tcBorders>
              <w:top w:val="single" w:sz="4" w:space="0" w:color="auto"/>
              <w:bottom w:val="single" w:sz="4" w:space="0" w:color="auto"/>
            </w:tcBorders>
          </w:tcPr>
          <w:p w:rsidR="008D5428" w:rsidRDefault="00F25A94" w:rsidP="004D32A7">
            <w:pPr>
              <w:tabs>
                <w:tab w:val="left" w:pos="3940"/>
                <w:tab w:val="left" w:pos="5660"/>
                <w:tab w:val="right" w:pos="8380"/>
              </w:tabs>
              <w:rPr>
                <w:sz w:val="20"/>
              </w:rPr>
            </w:pPr>
            <w:r>
              <w:rPr>
                <w:sz w:val="20"/>
              </w:rPr>
              <w:t>-</w:t>
            </w:r>
          </w:p>
        </w:tc>
        <w:tc>
          <w:tcPr>
            <w:tcW w:w="951" w:type="dxa"/>
            <w:tcBorders>
              <w:top w:val="single" w:sz="4" w:space="0" w:color="auto"/>
              <w:bottom w:val="single" w:sz="4" w:space="0" w:color="auto"/>
            </w:tcBorders>
          </w:tcPr>
          <w:p w:rsidR="008D5428" w:rsidRDefault="00F25A94" w:rsidP="004D32A7">
            <w:pPr>
              <w:pStyle w:val="FootnoteText"/>
              <w:tabs>
                <w:tab w:val="left" w:pos="3940"/>
                <w:tab w:val="left" w:pos="5660"/>
                <w:tab w:val="right" w:pos="8380"/>
              </w:tabs>
            </w:pPr>
            <w:r>
              <w:t>-</w:t>
            </w:r>
          </w:p>
        </w:tc>
      </w:tr>
    </w:tbl>
    <w:p w:rsidR="008D5428" w:rsidRDefault="008D5428" w:rsidP="004D32A7">
      <w:pPr>
        <w:tabs>
          <w:tab w:val="left" w:pos="3940"/>
          <w:tab w:val="left" w:pos="5660"/>
          <w:tab w:val="right" w:pos="8380"/>
        </w:tabs>
        <w:rPr>
          <w:sz w:val="20"/>
        </w:rPr>
      </w:pPr>
    </w:p>
    <w:p w:rsidR="002332A4" w:rsidRPr="0019455A" w:rsidRDefault="00620AE9" w:rsidP="002332A4">
      <w:pPr>
        <w:tabs>
          <w:tab w:val="left" w:pos="3940"/>
          <w:tab w:val="left" w:pos="5660"/>
          <w:tab w:val="right" w:pos="8380"/>
        </w:tabs>
        <w:rPr>
          <w:sz w:val="20"/>
          <w:lang w:val="en-US"/>
        </w:rPr>
      </w:pPr>
      <w:r>
        <w:rPr>
          <w:b/>
          <w:sz w:val="20"/>
          <w:lang w:val="en-US"/>
        </w:rPr>
        <w:t>C</w:t>
      </w:r>
      <w:r w:rsidR="002332A4">
        <w:rPr>
          <w:b/>
          <w:sz w:val="20"/>
          <w:lang w:val="en-US"/>
        </w:rPr>
        <w:t xml:space="preserve">urrent OMS II </w:t>
      </w:r>
      <w:r w:rsidR="002332A4" w:rsidRPr="00273444">
        <w:rPr>
          <w:b/>
          <w:sz w:val="20"/>
          <w:lang w:val="en-US"/>
        </w:rPr>
        <w:t>Parameters</w:t>
      </w:r>
      <w:r w:rsidR="002332A4">
        <w:rPr>
          <w:b/>
          <w:sz w:val="20"/>
          <w:lang w:val="en-US"/>
        </w:rPr>
        <w:t xml:space="preserve"> are found on the Risk management </w:t>
      </w:r>
      <w:hyperlink r:id="rId8" w:history="1">
        <w:r w:rsidR="002332A4" w:rsidRPr="00620AE9">
          <w:rPr>
            <w:rStyle w:val="Hyperlink"/>
            <w:b/>
            <w:sz w:val="20"/>
            <w:lang w:val="en-US"/>
          </w:rPr>
          <w:t>website</w:t>
        </w:r>
      </w:hyperlink>
      <w:r w:rsidR="002332A4">
        <w:rPr>
          <w:b/>
          <w:sz w:val="20"/>
          <w:lang w:val="en-US"/>
        </w:rPr>
        <w:t>.</w:t>
      </w:r>
    </w:p>
    <w:p w:rsidR="002332A4" w:rsidRDefault="002332A4" w:rsidP="002332A4">
      <w:pPr>
        <w:ind w:right="-642"/>
        <w:rPr>
          <w:b/>
          <w:sz w:val="20"/>
          <w:lang w:val="en-US"/>
        </w:rPr>
      </w:pPr>
    </w:p>
    <w:p w:rsidR="002332A4" w:rsidRDefault="006B3FE2" w:rsidP="002332A4">
      <w:pPr>
        <w:tabs>
          <w:tab w:val="left" w:pos="3940"/>
          <w:tab w:val="left" w:pos="5660"/>
          <w:tab w:val="right" w:pos="8380"/>
        </w:tabs>
        <w:rPr>
          <w:sz w:val="20"/>
          <w:lang w:val="en-US"/>
        </w:rPr>
      </w:pPr>
      <w:r>
        <w:rPr>
          <w:sz w:val="20"/>
          <w:lang w:val="en-US"/>
        </w:rPr>
        <w:t xml:space="preserve">Nasdaq </w:t>
      </w:r>
      <w:r w:rsidR="002332A4" w:rsidRPr="0019455A">
        <w:rPr>
          <w:sz w:val="20"/>
          <w:lang w:val="en-US"/>
        </w:rPr>
        <w:t>reserves the right to immediately apply additional collateral for daily cash settlements on fixed income products.</w:t>
      </w:r>
    </w:p>
    <w:p w:rsidR="002950C2" w:rsidRPr="000C2E25" w:rsidRDefault="002950C2">
      <w:pPr>
        <w:rPr>
          <w:sz w:val="20"/>
          <w:lang w:val="en-US"/>
        </w:rPr>
      </w:pPr>
      <w:r w:rsidRPr="000C2E25">
        <w:rPr>
          <w:sz w:val="20"/>
          <w:lang w:val="en-US"/>
        </w:rPr>
        <w:br w:type="page"/>
      </w:r>
    </w:p>
    <w:p w:rsidR="008D5428" w:rsidRPr="00620AE9" w:rsidRDefault="006E202A" w:rsidP="00991F8A">
      <w:pPr>
        <w:tabs>
          <w:tab w:val="left" w:pos="3940"/>
          <w:tab w:val="left" w:pos="5660"/>
          <w:tab w:val="right" w:pos="8380"/>
        </w:tabs>
        <w:rPr>
          <w:sz w:val="20"/>
          <w:lang w:val="en-US"/>
        </w:rPr>
      </w:pPr>
      <w:r w:rsidRPr="00620AE9">
        <w:rPr>
          <w:sz w:val="20"/>
          <w:lang w:val="en-US"/>
        </w:rPr>
        <w:lastRenderedPageBreak/>
        <w:t>2</w:t>
      </w:r>
      <w:r w:rsidR="008D5428" w:rsidRPr="00620AE9">
        <w:rPr>
          <w:sz w:val="20"/>
          <w:lang w:val="en-US"/>
        </w:rPr>
        <w:t xml:space="preserve">. FIXED INCOME </w:t>
      </w:r>
      <w:r w:rsidR="006A7485" w:rsidRPr="00620AE9">
        <w:rPr>
          <w:sz w:val="20"/>
          <w:lang w:val="en-US"/>
        </w:rPr>
        <w:t>PRODUCTS</w:t>
      </w:r>
      <w:r w:rsidR="008D5428" w:rsidRPr="00620AE9">
        <w:rPr>
          <w:sz w:val="20"/>
          <w:lang w:val="en-US"/>
        </w:rPr>
        <w:t xml:space="preserve"> </w:t>
      </w:r>
      <w:r w:rsidR="00186D53" w:rsidRPr="00620AE9">
        <w:rPr>
          <w:sz w:val="20"/>
          <w:lang w:val="en-US"/>
        </w:rPr>
        <w:t>CFM</w:t>
      </w:r>
    </w:p>
    <w:p w:rsidR="00882750" w:rsidRPr="00620AE9" w:rsidRDefault="00882750" w:rsidP="004D32A7">
      <w:pPr>
        <w:tabs>
          <w:tab w:val="left" w:pos="3940"/>
          <w:tab w:val="left" w:pos="5660"/>
          <w:tab w:val="right" w:pos="8380"/>
        </w:tabs>
        <w:rPr>
          <w:sz w:val="20"/>
          <w:lang w:val="en-US"/>
        </w:rPr>
      </w:pPr>
    </w:p>
    <w:p w:rsidR="00273444" w:rsidRPr="0019455A" w:rsidRDefault="00620AE9" w:rsidP="004D32A7">
      <w:pPr>
        <w:tabs>
          <w:tab w:val="left" w:pos="3940"/>
          <w:tab w:val="left" w:pos="5660"/>
          <w:tab w:val="right" w:pos="8380"/>
        </w:tabs>
        <w:rPr>
          <w:sz w:val="20"/>
          <w:lang w:val="en-US"/>
        </w:rPr>
      </w:pPr>
      <w:r>
        <w:rPr>
          <w:b/>
          <w:sz w:val="20"/>
          <w:lang w:val="en-US"/>
        </w:rPr>
        <w:t>C</w:t>
      </w:r>
      <w:r w:rsidR="002332A4">
        <w:rPr>
          <w:b/>
          <w:sz w:val="20"/>
          <w:lang w:val="en-US"/>
        </w:rPr>
        <w:t xml:space="preserve">urrent </w:t>
      </w:r>
      <w:r w:rsidR="00273444" w:rsidRPr="00273444">
        <w:rPr>
          <w:b/>
          <w:sz w:val="20"/>
          <w:lang w:val="en-US"/>
        </w:rPr>
        <w:t>CFM Parameters</w:t>
      </w:r>
      <w:r w:rsidR="002332A4">
        <w:rPr>
          <w:b/>
          <w:sz w:val="20"/>
          <w:lang w:val="en-US"/>
        </w:rPr>
        <w:t xml:space="preserve"> are found on the Risk management </w:t>
      </w:r>
      <w:hyperlink r:id="rId9" w:history="1">
        <w:r w:rsidR="002332A4" w:rsidRPr="00620AE9">
          <w:rPr>
            <w:rStyle w:val="Hyperlink"/>
            <w:b/>
            <w:sz w:val="20"/>
            <w:lang w:val="en-US"/>
          </w:rPr>
          <w:t>website</w:t>
        </w:r>
      </w:hyperlink>
      <w:r w:rsidR="002332A4">
        <w:rPr>
          <w:b/>
          <w:sz w:val="20"/>
          <w:lang w:val="en-US"/>
        </w:rPr>
        <w:t>.</w:t>
      </w:r>
    </w:p>
    <w:p w:rsidR="00273444" w:rsidRDefault="00273444" w:rsidP="004D32A7">
      <w:pPr>
        <w:ind w:right="-642"/>
        <w:rPr>
          <w:b/>
          <w:sz w:val="20"/>
          <w:lang w:val="en-US"/>
        </w:rPr>
      </w:pPr>
    </w:p>
    <w:p w:rsidR="005C5374" w:rsidRDefault="006B3FE2" w:rsidP="005C5374">
      <w:pPr>
        <w:tabs>
          <w:tab w:val="left" w:pos="3940"/>
          <w:tab w:val="left" w:pos="5660"/>
          <w:tab w:val="right" w:pos="8380"/>
        </w:tabs>
        <w:rPr>
          <w:sz w:val="20"/>
          <w:lang w:val="en-US"/>
        </w:rPr>
      </w:pPr>
      <w:r>
        <w:rPr>
          <w:sz w:val="20"/>
          <w:lang w:val="en-US"/>
        </w:rPr>
        <w:t>Nasdaq</w:t>
      </w:r>
      <w:r w:rsidR="005C5374" w:rsidRPr="0019455A">
        <w:rPr>
          <w:sz w:val="20"/>
          <w:lang w:val="en-US"/>
        </w:rPr>
        <w:t xml:space="preserve"> reserves the right to immediately apply additional collateral for daily cash settlements on fixed income products.</w:t>
      </w:r>
    </w:p>
    <w:p w:rsidR="005C5374" w:rsidRPr="00DC043F" w:rsidRDefault="005C5374" w:rsidP="004D32A7">
      <w:pPr>
        <w:ind w:right="-642"/>
        <w:rPr>
          <w:b/>
          <w:sz w:val="20"/>
          <w:lang w:val="en-US"/>
        </w:rPr>
      </w:pPr>
    </w:p>
    <w:p w:rsidR="007B52FC" w:rsidRPr="00ED44CC" w:rsidRDefault="00D67871" w:rsidP="004D32A7">
      <w:pPr>
        <w:ind w:right="-642"/>
        <w:rPr>
          <w:b/>
          <w:sz w:val="20"/>
          <w:lang w:val="en-US"/>
        </w:rPr>
      </w:pPr>
      <w:r w:rsidRPr="00ED44CC">
        <w:rPr>
          <w:b/>
          <w:sz w:val="20"/>
          <w:lang w:val="en-US"/>
        </w:rPr>
        <w:t>Calculations of covariance, CFM</w:t>
      </w:r>
    </w:p>
    <w:p w:rsidR="005F17A9" w:rsidRPr="00ED44CC" w:rsidRDefault="005F17A9" w:rsidP="004D32A7">
      <w:pPr>
        <w:ind w:right="-642"/>
        <w:rPr>
          <w:b/>
          <w:sz w:val="20"/>
          <w:lang w:val="en-US"/>
        </w:rPr>
      </w:pPr>
    </w:p>
    <w:p w:rsidR="005F17A9" w:rsidRPr="0019455A" w:rsidRDefault="005F17A9" w:rsidP="004D32A7">
      <w:pPr>
        <w:ind w:right="-642"/>
        <w:rPr>
          <w:b/>
          <w:sz w:val="20"/>
          <w:lang w:val="en-US"/>
        </w:rPr>
      </w:pPr>
      <w:r w:rsidRPr="0019455A">
        <w:rPr>
          <w:b/>
          <w:sz w:val="20"/>
          <w:lang w:val="en-US"/>
        </w:rPr>
        <w:t>Total size of window for uncorrelated curves</w:t>
      </w:r>
    </w:p>
    <w:p w:rsidR="005F17A9" w:rsidRPr="00526235" w:rsidRDefault="005F17A9" w:rsidP="004D32A7">
      <w:pPr>
        <w:tabs>
          <w:tab w:val="left" w:pos="3940"/>
          <w:tab w:val="left" w:pos="5660"/>
          <w:tab w:val="right" w:pos="8380"/>
        </w:tabs>
        <w:rPr>
          <w:sz w:val="20"/>
          <w:lang w:val="en-US"/>
        </w:rPr>
      </w:pPr>
      <w:r w:rsidRPr="00526235">
        <w:rPr>
          <w:sz w:val="20"/>
          <w:lang w:val="en-US"/>
        </w:rPr>
        <w:t>PC1 = 9, PC2 = 5, PC3 = 5</w:t>
      </w:r>
    </w:p>
    <w:p w:rsidR="005F17A9" w:rsidRPr="0019455A" w:rsidRDefault="005F17A9" w:rsidP="004D32A7">
      <w:pPr>
        <w:ind w:right="-642"/>
        <w:rPr>
          <w:b/>
          <w:sz w:val="20"/>
          <w:lang w:val="en-US"/>
        </w:rPr>
      </w:pPr>
    </w:p>
    <w:p w:rsidR="007B52FC" w:rsidRPr="0019455A" w:rsidRDefault="007B52FC" w:rsidP="004D32A7">
      <w:pPr>
        <w:ind w:right="-642"/>
        <w:rPr>
          <w:b/>
          <w:sz w:val="20"/>
          <w:lang w:val="en-US"/>
        </w:rPr>
      </w:pPr>
      <w:r w:rsidRPr="0019455A">
        <w:rPr>
          <w:b/>
          <w:sz w:val="20"/>
          <w:lang w:val="en-US"/>
        </w:rPr>
        <w:t>Size of window applied to different yield curves</w:t>
      </w:r>
    </w:p>
    <w:p w:rsidR="00C768EE" w:rsidRPr="0019455A" w:rsidRDefault="00C768EE" w:rsidP="004D32A7">
      <w:pPr>
        <w:ind w:right="-642"/>
        <w:rPr>
          <w:b/>
          <w:sz w:val="20"/>
          <w:lang w:val="en-US"/>
        </w:rPr>
      </w:pPr>
    </w:p>
    <w:tbl>
      <w:tblPr>
        <w:tblW w:w="8034" w:type="dxa"/>
        <w:tblLook w:val="01E0" w:firstRow="1" w:lastRow="1" w:firstColumn="1" w:lastColumn="1" w:noHBand="0" w:noVBand="0"/>
      </w:tblPr>
      <w:tblGrid>
        <w:gridCol w:w="828"/>
        <w:gridCol w:w="5646"/>
        <w:gridCol w:w="1560"/>
      </w:tblGrid>
      <w:tr w:rsidR="00C768EE" w:rsidRPr="002F38EE" w:rsidTr="00AD6AE5">
        <w:tc>
          <w:tcPr>
            <w:tcW w:w="828" w:type="dxa"/>
            <w:tcBorders>
              <w:bottom w:val="single" w:sz="4" w:space="0" w:color="auto"/>
            </w:tcBorders>
          </w:tcPr>
          <w:p w:rsidR="00C768EE" w:rsidRPr="002F38EE" w:rsidRDefault="007E455A" w:rsidP="004D32A7">
            <w:pPr>
              <w:tabs>
                <w:tab w:val="left" w:pos="3940"/>
                <w:tab w:val="left" w:pos="5660"/>
                <w:tab w:val="right" w:pos="8380"/>
              </w:tabs>
              <w:rPr>
                <w:sz w:val="20"/>
              </w:rPr>
            </w:pPr>
            <w:r>
              <w:rPr>
                <w:sz w:val="20"/>
              </w:rPr>
              <w:t>Group</w:t>
            </w:r>
          </w:p>
        </w:tc>
        <w:tc>
          <w:tcPr>
            <w:tcW w:w="5646" w:type="dxa"/>
            <w:tcBorders>
              <w:bottom w:val="single" w:sz="4" w:space="0" w:color="auto"/>
            </w:tcBorders>
          </w:tcPr>
          <w:p w:rsidR="00C768EE" w:rsidRPr="002F38EE" w:rsidRDefault="00C768EE" w:rsidP="004D32A7">
            <w:pPr>
              <w:tabs>
                <w:tab w:val="left" w:pos="3940"/>
                <w:tab w:val="left" w:pos="5660"/>
                <w:tab w:val="right" w:pos="8380"/>
              </w:tabs>
              <w:rPr>
                <w:sz w:val="20"/>
              </w:rPr>
            </w:pPr>
            <w:r>
              <w:rPr>
                <w:sz w:val="20"/>
              </w:rPr>
              <w:t>Yield curves</w:t>
            </w:r>
          </w:p>
        </w:tc>
        <w:tc>
          <w:tcPr>
            <w:tcW w:w="1560" w:type="dxa"/>
            <w:tcBorders>
              <w:bottom w:val="single" w:sz="4" w:space="0" w:color="auto"/>
            </w:tcBorders>
          </w:tcPr>
          <w:p w:rsidR="00C768EE" w:rsidRPr="002F38EE" w:rsidRDefault="00C768EE" w:rsidP="004D32A7">
            <w:pPr>
              <w:tabs>
                <w:tab w:val="left" w:pos="3940"/>
                <w:tab w:val="left" w:pos="5660"/>
                <w:tab w:val="right" w:pos="8380"/>
              </w:tabs>
              <w:rPr>
                <w:sz w:val="20"/>
              </w:rPr>
            </w:pPr>
            <w:r w:rsidRPr="002F38EE">
              <w:rPr>
                <w:sz w:val="20"/>
              </w:rPr>
              <w:t>Size of window</w:t>
            </w:r>
          </w:p>
        </w:tc>
      </w:tr>
      <w:tr w:rsidR="005F17A9" w:rsidTr="005F17A9">
        <w:tc>
          <w:tcPr>
            <w:tcW w:w="828" w:type="dxa"/>
            <w:tcBorders>
              <w:bottom w:val="single" w:sz="4" w:space="0" w:color="auto"/>
            </w:tcBorders>
          </w:tcPr>
          <w:p w:rsidR="005F17A9" w:rsidRDefault="005F17A9" w:rsidP="004D32A7">
            <w:pPr>
              <w:tabs>
                <w:tab w:val="left" w:pos="3940"/>
                <w:tab w:val="left" w:pos="5660"/>
                <w:tab w:val="right" w:pos="8380"/>
              </w:tabs>
              <w:rPr>
                <w:sz w:val="20"/>
              </w:rPr>
            </w:pPr>
            <w:r>
              <w:rPr>
                <w:sz w:val="20"/>
              </w:rPr>
              <w:t>1</w:t>
            </w:r>
          </w:p>
        </w:tc>
        <w:tc>
          <w:tcPr>
            <w:tcW w:w="5646" w:type="dxa"/>
            <w:tcBorders>
              <w:bottom w:val="single" w:sz="4" w:space="0" w:color="auto"/>
            </w:tcBorders>
          </w:tcPr>
          <w:p w:rsidR="005F17A9" w:rsidRPr="0019455A" w:rsidRDefault="005F17A9" w:rsidP="004D32A7">
            <w:pPr>
              <w:tabs>
                <w:tab w:val="left" w:pos="3940"/>
                <w:tab w:val="left" w:pos="5660"/>
                <w:tab w:val="right" w:pos="8380"/>
              </w:tabs>
              <w:rPr>
                <w:sz w:val="20"/>
                <w:lang w:val="en-US"/>
              </w:rPr>
            </w:pPr>
            <w:r w:rsidRPr="0019455A">
              <w:rPr>
                <w:sz w:val="20"/>
                <w:lang w:val="en-US"/>
              </w:rPr>
              <w:t>NBHO_SEK, SCBC_SEK, SHYP_SEK,</w:t>
            </w:r>
          </w:p>
          <w:p w:rsidR="005F17A9" w:rsidRPr="0019455A" w:rsidRDefault="005F17A9" w:rsidP="004D32A7">
            <w:pPr>
              <w:tabs>
                <w:tab w:val="left" w:pos="3940"/>
                <w:tab w:val="left" w:pos="5660"/>
                <w:tab w:val="right" w:pos="8380"/>
              </w:tabs>
              <w:rPr>
                <w:sz w:val="20"/>
                <w:lang w:val="en-US"/>
              </w:rPr>
            </w:pPr>
            <w:r w:rsidRPr="0019455A">
              <w:rPr>
                <w:sz w:val="20"/>
                <w:lang w:val="en-US"/>
              </w:rPr>
              <w:t xml:space="preserve"> SWHO_SEK, LFH_SEK, TREASURY_SEK</w:t>
            </w:r>
          </w:p>
        </w:tc>
        <w:tc>
          <w:tcPr>
            <w:tcW w:w="1560" w:type="dxa"/>
            <w:tcBorders>
              <w:bottom w:val="single" w:sz="4" w:space="0" w:color="auto"/>
            </w:tcBorders>
          </w:tcPr>
          <w:p w:rsidR="005F17A9" w:rsidRDefault="005F17A9" w:rsidP="004D32A7">
            <w:pPr>
              <w:tabs>
                <w:tab w:val="left" w:pos="3940"/>
                <w:tab w:val="left" w:pos="5660"/>
                <w:tab w:val="right" w:pos="8380"/>
              </w:tabs>
              <w:rPr>
                <w:sz w:val="20"/>
              </w:rPr>
            </w:pPr>
            <w:r>
              <w:rPr>
                <w:sz w:val="20"/>
              </w:rPr>
              <w:t>PC1 = 5</w:t>
            </w:r>
          </w:p>
          <w:p w:rsidR="005F17A9" w:rsidRDefault="005F17A9" w:rsidP="004D32A7">
            <w:pPr>
              <w:tabs>
                <w:tab w:val="left" w:pos="3940"/>
                <w:tab w:val="left" w:pos="5660"/>
                <w:tab w:val="right" w:pos="8380"/>
              </w:tabs>
              <w:rPr>
                <w:sz w:val="20"/>
              </w:rPr>
            </w:pPr>
            <w:r>
              <w:rPr>
                <w:sz w:val="20"/>
              </w:rPr>
              <w:t>PC2 = 3</w:t>
            </w:r>
          </w:p>
          <w:p w:rsidR="005F17A9" w:rsidRDefault="005F17A9" w:rsidP="004D32A7">
            <w:pPr>
              <w:tabs>
                <w:tab w:val="left" w:pos="3940"/>
                <w:tab w:val="left" w:pos="5660"/>
                <w:tab w:val="right" w:pos="8380"/>
              </w:tabs>
              <w:rPr>
                <w:sz w:val="20"/>
              </w:rPr>
            </w:pPr>
            <w:r>
              <w:rPr>
                <w:sz w:val="20"/>
              </w:rPr>
              <w:t>PC3 = 3</w:t>
            </w:r>
          </w:p>
        </w:tc>
      </w:tr>
      <w:tr w:rsidR="005F17A9" w:rsidTr="005F17A9">
        <w:tc>
          <w:tcPr>
            <w:tcW w:w="828" w:type="dxa"/>
            <w:tcBorders>
              <w:bottom w:val="single" w:sz="4" w:space="0" w:color="auto"/>
            </w:tcBorders>
          </w:tcPr>
          <w:p w:rsidR="005F17A9" w:rsidRDefault="005F17A9" w:rsidP="004D32A7">
            <w:pPr>
              <w:tabs>
                <w:tab w:val="left" w:pos="3940"/>
                <w:tab w:val="left" w:pos="5660"/>
                <w:tab w:val="right" w:pos="8380"/>
              </w:tabs>
              <w:rPr>
                <w:sz w:val="20"/>
              </w:rPr>
            </w:pPr>
            <w:r>
              <w:rPr>
                <w:sz w:val="20"/>
              </w:rPr>
              <w:t>2</w:t>
            </w:r>
          </w:p>
        </w:tc>
        <w:tc>
          <w:tcPr>
            <w:tcW w:w="5646" w:type="dxa"/>
            <w:tcBorders>
              <w:bottom w:val="single" w:sz="4" w:space="0" w:color="auto"/>
            </w:tcBorders>
          </w:tcPr>
          <w:p w:rsidR="005F17A9" w:rsidRDefault="005F17A9" w:rsidP="004D32A7">
            <w:pPr>
              <w:tabs>
                <w:tab w:val="left" w:pos="3940"/>
                <w:tab w:val="left" w:pos="5660"/>
                <w:tab w:val="right" w:pos="8380"/>
              </w:tabs>
              <w:rPr>
                <w:sz w:val="20"/>
              </w:rPr>
            </w:pPr>
            <w:r>
              <w:rPr>
                <w:sz w:val="20"/>
              </w:rPr>
              <w:t>FRA_SEK, SWAP_SEK</w:t>
            </w:r>
          </w:p>
        </w:tc>
        <w:tc>
          <w:tcPr>
            <w:tcW w:w="1560" w:type="dxa"/>
            <w:tcBorders>
              <w:bottom w:val="single" w:sz="4" w:space="0" w:color="auto"/>
            </w:tcBorders>
          </w:tcPr>
          <w:p w:rsidR="005F17A9" w:rsidRDefault="005F17A9" w:rsidP="004D32A7">
            <w:pPr>
              <w:tabs>
                <w:tab w:val="left" w:pos="3940"/>
                <w:tab w:val="left" w:pos="5660"/>
                <w:tab w:val="right" w:pos="8380"/>
              </w:tabs>
              <w:rPr>
                <w:sz w:val="20"/>
              </w:rPr>
            </w:pPr>
            <w:r>
              <w:rPr>
                <w:sz w:val="20"/>
              </w:rPr>
              <w:t>PC1 = 1</w:t>
            </w:r>
          </w:p>
          <w:p w:rsidR="005F17A9" w:rsidRDefault="005F17A9" w:rsidP="004D32A7">
            <w:pPr>
              <w:tabs>
                <w:tab w:val="left" w:pos="3940"/>
                <w:tab w:val="left" w:pos="5660"/>
                <w:tab w:val="right" w:pos="8380"/>
              </w:tabs>
              <w:rPr>
                <w:sz w:val="20"/>
              </w:rPr>
            </w:pPr>
            <w:r>
              <w:rPr>
                <w:sz w:val="20"/>
              </w:rPr>
              <w:t>PC2 = 1</w:t>
            </w:r>
          </w:p>
          <w:p w:rsidR="005F17A9" w:rsidRDefault="005F17A9" w:rsidP="004D32A7">
            <w:pPr>
              <w:tabs>
                <w:tab w:val="left" w:pos="3940"/>
                <w:tab w:val="left" w:pos="5660"/>
                <w:tab w:val="right" w:pos="8380"/>
              </w:tabs>
              <w:rPr>
                <w:sz w:val="20"/>
              </w:rPr>
            </w:pPr>
            <w:r>
              <w:rPr>
                <w:sz w:val="20"/>
              </w:rPr>
              <w:t>PC3 = 1</w:t>
            </w:r>
          </w:p>
        </w:tc>
      </w:tr>
      <w:tr w:rsidR="005F17A9" w:rsidTr="005F17A9">
        <w:tc>
          <w:tcPr>
            <w:tcW w:w="828" w:type="dxa"/>
            <w:tcBorders>
              <w:bottom w:val="single" w:sz="4" w:space="0" w:color="auto"/>
            </w:tcBorders>
          </w:tcPr>
          <w:p w:rsidR="005F17A9" w:rsidRDefault="005F17A9" w:rsidP="004D32A7">
            <w:pPr>
              <w:tabs>
                <w:tab w:val="left" w:pos="3940"/>
                <w:tab w:val="left" w:pos="5660"/>
                <w:tab w:val="right" w:pos="8380"/>
              </w:tabs>
              <w:rPr>
                <w:sz w:val="20"/>
              </w:rPr>
            </w:pPr>
            <w:r>
              <w:rPr>
                <w:sz w:val="20"/>
              </w:rPr>
              <w:t>3</w:t>
            </w:r>
          </w:p>
        </w:tc>
        <w:tc>
          <w:tcPr>
            <w:tcW w:w="5646" w:type="dxa"/>
            <w:tcBorders>
              <w:bottom w:val="single" w:sz="4" w:space="0" w:color="auto"/>
            </w:tcBorders>
          </w:tcPr>
          <w:p w:rsidR="005F17A9" w:rsidRDefault="005F17A9" w:rsidP="004D32A7">
            <w:pPr>
              <w:tabs>
                <w:tab w:val="left" w:pos="3940"/>
                <w:tab w:val="left" w:pos="5660"/>
                <w:tab w:val="right" w:pos="8380"/>
              </w:tabs>
              <w:rPr>
                <w:sz w:val="20"/>
              </w:rPr>
            </w:pPr>
            <w:r>
              <w:rPr>
                <w:sz w:val="20"/>
              </w:rPr>
              <w:t>3NFRA_NOK, 6NFRA_NOK</w:t>
            </w:r>
          </w:p>
        </w:tc>
        <w:tc>
          <w:tcPr>
            <w:tcW w:w="1560" w:type="dxa"/>
            <w:tcBorders>
              <w:bottom w:val="single" w:sz="4" w:space="0" w:color="auto"/>
            </w:tcBorders>
          </w:tcPr>
          <w:p w:rsidR="005F17A9" w:rsidRDefault="005F17A9" w:rsidP="004D32A7">
            <w:pPr>
              <w:tabs>
                <w:tab w:val="left" w:pos="3940"/>
                <w:tab w:val="left" w:pos="5660"/>
                <w:tab w:val="right" w:pos="8380"/>
              </w:tabs>
              <w:rPr>
                <w:sz w:val="20"/>
              </w:rPr>
            </w:pPr>
            <w:r>
              <w:rPr>
                <w:sz w:val="20"/>
              </w:rPr>
              <w:t>PC1 = 1</w:t>
            </w:r>
          </w:p>
          <w:p w:rsidR="005F17A9" w:rsidRDefault="005F17A9" w:rsidP="004D32A7">
            <w:pPr>
              <w:tabs>
                <w:tab w:val="left" w:pos="3940"/>
                <w:tab w:val="left" w:pos="5660"/>
                <w:tab w:val="right" w:pos="8380"/>
              </w:tabs>
              <w:rPr>
                <w:sz w:val="20"/>
              </w:rPr>
            </w:pPr>
            <w:r>
              <w:rPr>
                <w:sz w:val="20"/>
              </w:rPr>
              <w:t>PC2 = 1</w:t>
            </w:r>
          </w:p>
          <w:p w:rsidR="005F17A9" w:rsidRDefault="005F17A9" w:rsidP="004D32A7">
            <w:pPr>
              <w:tabs>
                <w:tab w:val="left" w:pos="3940"/>
                <w:tab w:val="left" w:pos="5660"/>
                <w:tab w:val="right" w:pos="8380"/>
              </w:tabs>
              <w:rPr>
                <w:sz w:val="20"/>
              </w:rPr>
            </w:pPr>
            <w:r>
              <w:rPr>
                <w:sz w:val="20"/>
              </w:rPr>
              <w:t>PC3 = 1</w:t>
            </w:r>
          </w:p>
        </w:tc>
      </w:tr>
      <w:tr w:rsidR="005F17A9" w:rsidTr="005F17A9">
        <w:tc>
          <w:tcPr>
            <w:tcW w:w="828" w:type="dxa"/>
            <w:tcBorders>
              <w:bottom w:val="single" w:sz="4" w:space="0" w:color="auto"/>
            </w:tcBorders>
          </w:tcPr>
          <w:p w:rsidR="005F17A9" w:rsidRDefault="005F17A9" w:rsidP="004D32A7">
            <w:pPr>
              <w:tabs>
                <w:tab w:val="left" w:pos="3940"/>
                <w:tab w:val="left" w:pos="5660"/>
                <w:tab w:val="right" w:pos="8380"/>
              </w:tabs>
              <w:rPr>
                <w:sz w:val="20"/>
              </w:rPr>
            </w:pPr>
            <w:r>
              <w:rPr>
                <w:sz w:val="20"/>
              </w:rPr>
              <w:t>4</w:t>
            </w:r>
          </w:p>
        </w:tc>
        <w:tc>
          <w:tcPr>
            <w:tcW w:w="5646" w:type="dxa"/>
            <w:tcBorders>
              <w:bottom w:val="single" w:sz="4" w:space="0" w:color="auto"/>
            </w:tcBorders>
          </w:tcPr>
          <w:p w:rsidR="005F17A9" w:rsidRDefault="005F17A9" w:rsidP="00F719EB">
            <w:pPr>
              <w:tabs>
                <w:tab w:val="left" w:pos="3940"/>
                <w:tab w:val="left" w:pos="5660"/>
                <w:tab w:val="right" w:pos="8380"/>
              </w:tabs>
              <w:rPr>
                <w:sz w:val="20"/>
              </w:rPr>
            </w:pPr>
            <w:r>
              <w:rPr>
                <w:sz w:val="20"/>
              </w:rPr>
              <w:t>GOV_BOND_SEK, GR</w:t>
            </w:r>
            <w:r w:rsidR="00F719EB">
              <w:rPr>
                <w:sz w:val="20"/>
              </w:rPr>
              <w:t>O</w:t>
            </w:r>
            <w:r>
              <w:rPr>
                <w:sz w:val="20"/>
              </w:rPr>
              <w:t>UP 2</w:t>
            </w:r>
          </w:p>
        </w:tc>
        <w:tc>
          <w:tcPr>
            <w:tcW w:w="1560" w:type="dxa"/>
            <w:tcBorders>
              <w:bottom w:val="single" w:sz="4" w:space="0" w:color="auto"/>
            </w:tcBorders>
          </w:tcPr>
          <w:p w:rsidR="005F17A9" w:rsidRDefault="005F17A9" w:rsidP="004D32A7">
            <w:pPr>
              <w:tabs>
                <w:tab w:val="left" w:pos="3940"/>
                <w:tab w:val="left" w:pos="5660"/>
                <w:tab w:val="right" w:pos="8380"/>
              </w:tabs>
              <w:rPr>
                <w:sz w:val="20"/>
              </w:rPr>
            </w:pPr>
            <w:r>
              <w:rPr>
                <w:sz w:val="20"/>
              </w:rPr>
              <w:t>PC1 = 3</w:t>
            </w:r>
          </w:p>
          <w:p w:rsidR="005F17A9" w:rsidRDefault="005F17A9" w:rsidP="004D32A7">
            <w:pPr>
              <w:tabs>
                <w:tab w:val="left" w:pos="3940"/>
                <w:tab w:val="left" w:pos="5660"/>
                <w:tab w:val="right" w:pos="8380"/>
              </w:tabs>
              <w:rPr>
                <w:sz w:val="20"/>
              </w:rPr>
            </w:pPr>
            <w:r>
              <w:rPr>
                <w:sz w:val="20"/>
              </w:rPr>
              <w:t>PC2 = 3</w:t>
            </w:r>
          </w:p>
          <w:p w:rsidR="005F17A9" w:rsidRDefault="005F17A9" w:rsidP="004D32A7">
            <w:pPr>
              <w:tabs>
                <w:tab w:val="left" w:pos="3940"/>
                <w:tab w:val="left" w:pos="5660"/>
                <w:tab w:val="right" w:pos="8380"/>
              </w:tabs>
              <w:rPr>
                <w:sz w:val="20"/>
              </w:rPr>
            </w:pPr>
            <w:r>
              <w:rPr>
                <w:sz w:val="20"/>
              </w:rPr>
              <w:t>PC3 = 3</w:t>
            </w:r>
          </w:p>
        </w:tc>
      </w:tr>
      <w:tr w:rsidR="005F17A9" w:rsidTr="005F17A9">
        <w:tc>
          <w:tcPr>
            <w:tcW w:w="828" w:type="dxa"/>
            <w:tcBorders>
              <w:bottom w:val="single" w:sz="4" w:space="0" w:color="auto"/>
            </w:tcBorders>
          </w:tcPr>
          <w:p w:rsidR="005F17A9" w:rsidRDefault="005F17A9" w:rsidP="004D32A7">
            <w:pPr>
              <w:tabs>
                <w:tab w:val="left" w:pos="3940"/>
                <w:tab w:val="left" w:pos="5660"/>
                <w:tab w:val="right" w:pos="8380"/>
              </w:tabs>
              <w:rPr>
                <w:sz w:val="20"/>
              </w:rPr>
            </w:pPr>
            <w:r>
              <w:rPr>
                <w:sz w:val="20"/>
              </w:rPr>
              <w:t>5</w:t>
            </w:r>
          </w:p>
        </w:tc>
        <w:tc>
          <w:tcPr>
            <w:tcW w:w="5646" w:type="dxa"/>
            <w:tcBorders>
              <w:bottom w:val="single" w:sz="4" w:space="0" w:color="auto"/>
            </w:tcBorders>
          </w:tcPr>
          <w:p w:rsidR="005F17A9" w:rsidRPr="0019455A" w:rsidRDefault="005F17A9" w:rsidP="004D32A7">
            <w:pPr>
              <w:tabs>
                <w:tab w:val="left" w:pos="3940"/>
                <w:tab w:val="left" w:pos="5660"/>
                <w:tab w:val="right" w:pos="8380"/>
              </w:tabs>
              <w:rPr>
                <w:sz w:val="20"/>
                <w:lang w:val="en-US"/>
              </w:rPr>
            </w:pPr>
            <w:r w:rsidRPr="0019455A">
              <w:rPr>
                <w:sz w:val="20"/>
                <w:lang w:val="en-US"/>
              </w:rPr>
              <w:t>NB_BOND_SEK, SPA_BOND_SEK, ST_BOND_SEK</w:t>
            </w:r>
          </w:p>
        </w:tc>
        <w:tc>
          <w:tcPr>
            <w:tcW w:w="1560" w:type="dxa"/>
            <w:tcBorders>
              <w:bottom w:val="single" w:sz="4" w:space="0" w:color="auto"/>
            </w:tcBorders>
          </w:tcPr>
          <w:p w:rsidR="005F17A9" w:rsidRDefault="005F17A9" w:rsidP="004D32A7">
            <w:pPr>
              <w:tabs>
                <w:tab w:val="left" w:pos="3940"/>
                <w:tab w:val="left" w:pos="5660"/>
                <w:tab w:val="right" w:pos="8380"/>
              </w:tabs>
              <w:rPr>
                <w:sz w:val="20"/>
              </w:rPr>
            </w:pPr>
            <w:r>
              <w:rPr>
                <w:sz w:val="20"/>
              </w:rPr>
              <w:t>PC1 = 3</w:t>
            </w:r>
          </w:p>
          <w:p w:rsidR="005F17A9" w:rsidRDefault="005F17A9" w:rsidP="004D32A7">
            <w:pPr>
              <w:tabs>
                <w:tab w:val="left" w:pos="3940"/>
                <w:tab w:val="left" w:pos="5660"/>
                <w:tab w:val="right" w:pos="8380"/>
              </w:tabs>
              <w:rPr>
                <w:sz w:val="20"/>
              </w:rPr>
            </w:pPr>
            <w:r>
              <w:rPr>
                <w:sz w:val="20"/>
              </w:rPr>
              <w:t>PC2 = 3</w:t>
            </w:r>
          </w:p>
          <w:p w:rsidR="005F17A9" w:rsidRDefault="005F17A9" w:rsidP="004D32A7">
            <w:pPr>
              <w:tabs>
                <w:tab w:val="left" w:pos="3940"/>
                <w:tab w:val="left" w:pos="5660"/>
                <w:tab w:val="right" w:pos="8380"/>
              </w:tabs>
              <w:rPr>
                <w:sz w:val="20"/>
              </w:rPr>
            </w:pPr>
            <w:r>
              <w:rPr>
                <w:sz w:val="20"/>
              </w:rPr>
              <w:t>PC3 = 3</w:t>
            </w:r>
          </w:p>
        </w:tc>
      </w:tr>
      <w:tr w:rsidR="005F17A9" w:rsidTr="005F17A9">
        <w:tc>
          <w:tcPr>
            <w:tcW w:w="828" w:type="dxa"/>
            <w:tcBorders>
              <w:bottom w:val="single" w:sz="4" w:space="0" w:color="auto"/>
            </w:tcBorders>
          </w:tcPr>
          <w:p w:rsidR="005F17A9" w:rsidRDefault="005F17A9" w:rsidP="004D32A7">
            <w:pPr>
              <w:tabs>
                <w:tab w:val="left" w:pos="3940"/>
                <w:tab w:val="left" w:pos="5660"/>
                <w:tab w:val="right" w:pos="8380"/>
              </w:tabs>
              <w:rPr>
                <w:sz w:val="20"/>
              </w:rPr>
            </w:pPr>
            <w:r>
              <w:rPr>
                <w:sz w:val="20"/>
              </w:rPr>
              <w:t>6</w:t>
            </w:r>
          </w:p>
        </w:tc>
        <w:tc>
          <w:tcPr>
            <w:tcW w:w="5646" w:type="dxa"/>
            <w:tcBorders>
              <w:bottom w:val="single" w:sz="4" w:space="0" w:color="auto"/>
            </w:tcBorders>
          </w:tcPr>
          <w:p w:rsidR="005F17A9" w:rsidRPr="005C438F" w:rsidRDefault="005F17A9" w:rsidP="00F719EB">
            <w:pPr>
              <w:tabs>
                <w:tab w:val="left" w:pos="3940"/>
                <w:tab w:val="left" w:pos="5660"/>
                <w:tab w:val="right" w:pos="8380"/>
              </w:tabs>
              <w:rPr>
                <w:sz w:val="20"/>
                <w:lang w:val="en-US"/>
              </w:rPr>
            </w:pPr>
            <w:r w:rsidRPr="005C438F">
              <w:rPr>
                <w:sz w:val="20"/>
                <w:lang w:val="en-US"/>
              </w:rPr>
              <w:t>GR</w:t>
            </w:r>
            <w:r w:rsidR="00F719EB" w:rsidRPr="005C438F">
              <w:rPr>
                <w:sz w:val="20"/>
                <w:lang w:val="en-US"/>
              </w:rPr>
              <w:t>O</w:t>
            </w:r>
            <w:r w:rsidRPr="005C438F">
              <w:rPr>
                <w:sz w:val="20"/>
                <w:lang w:val="en-US"/>
              </w:rPr>
              <w:t>UP 4, GR</w:t>
            </w:r>
            <w:r w:rsidR="00F719EB" w:rsidRPr="005C438F">
              <w:rPr>
                <w:sz w:val="20"/>
                <w:lang w:val="en-US"/>
              </w:rPr>
              <w:t>O</w:t>
            </w:r>
            <w:r w:rsidRPr="005C438F">
              <w:rPr>
                <w:sz w:val="20"/>
                <w:lang w:val="en-US"/>
              </w:rPr>
              <w:t xml:space="preserve">UP 5, SB_BOND_SEK, RIBA_SEK </w:t>
            </w:r>
          </w:p>
        </w:tc>
        <w:tc>
          <w:tcPr>
            <w:tcW w:w="1560" w:type="dxa"/>
            <w:tcBorders>
              <w:bottom w:val="single" w:sz="4" w:space="0" w:color="auto"/>
            </w:tcBorders>
          </w:tcPr>
          <w:p w:rsidR="005F17A9" w:rsidRDefault="005F17A9" w:rsidP="004D32A7">
            <w:pPr>
              <w:tabs>
                <w:tab w:val="left" w:pos="3940"/>
                <w:tab w:val="left" w:pos="5660"/>
                <w:tab w:val="right" w:pos="8380"/>
              </w:tabs>
              <w:rPr>
                <w:sz w:val="20"/>
              </w:rPr>
            </w:pPr>
            <w:r>
              <w:rPr>
                <w:sz w:val="20"/>
              </w:rPr>
              <w:t>PC1 = 5</w:t>
            </w:r>
          </w:p>
          <w:p w:rsidR="005F17A9" w:rsidRDefault="005F17A9" w:rsidP="004D32A7">
            <w:pPr>
              <w:tabs>
                <w:tab w:val="left" w:pos="3940"/>
                <w:tab w:val="left" w:pos="5660"/>
                <w:tab w:val="right" w:pos="8380"/>
              </w:tabs>
              <w:rPr>
                <w:sz w:val="20"/>
              </w:rPr>
            </w:pPr>
            <w:r>
              <w:rPr>
                <w:sz w:val="20"/>
              </w:rPr>
              <w:t>PC2 = 3</w:t>
            </w:r>
          </w:p>
          <w:p w:rsidR="005F17A9" w:rsidRDefault="005F17A9" w:rsidP="004D32A7">
            <w:pPr>
              <w:tabs>
                <w:tab w:val="left" w:pos="3940"/>
                <w:tab w:val="left" w:pos="5660"/>
                <w:tab w:val="right" w:pos="8380"/>
              </w:tabs>
              <w:rPr>
                <w:sz w:val="20"/>
              </w:rPr>
            </w:pPr>
            <w:r>
              <w:rPr>
                <w:sz w:val="20"/>
              </w:rPr>
              <w:t>PC3 = 3</w:t>
            </w:r>
          </w:p>
        </w:tc>
      </w:tr>
    </w:tbl>
    <w:p w:rsidR="007B52FC" w:rsidRDefault="007B52FC" w:rsidP="004D32A7">
      <w:pPr>
        <w:ind w:right="-642"/>
        <w:rPr>
          <w:b/>
          <w:sz w:val="20"/>
        </w:rPr>
      </w:pPr>
    </w:p>
    <w:p w:rsidR="00526235" w:rsidRDefault="00526235" w:rsidP="004D32A7">
      <w:pPr>
        <w:tabs>
          <w:tab w:val="left" w:pos="3940"/>
          <w:tab w:val="left" w:pos="5660"/>
          <w:tab w:val="right" w:pos="8380"/>
        </w:tabs>
        <w:rPr>
          <w:sz w:val="20"/>
        </w:rPr>
      </w:pPr>
    </w:p>
    <w:p w:rsidR="00526235" w:rsidRDefault="00526235" w:rsidP="004D32A7">
      <w:pPr>
        <w:rPr>
          <w:sz w:val="20"/>
        </w:rPr>
      </w:pPr>
      <w:r>
        <w:rPr>
          <w:sz w:val="20"/>
        </w:rPr>
        <w:br w:type="page"/>
      </w:r>
    </w:p>
    <w:p w:rsidR="00526235" w:rsidRPr="0019455A" w:rsidRDefault="006E202A" w:rsidP="004D32A7">
      <w:pPr>
        <w:tabs>
          <w:tab w:val="left" w:pos="3940"/>
          <w:tab w:val="left" w:pos="5660"/>
          <w:tab w:val="right" w:pos="8380"/>
        </w:tabs>
        <w:rPr>
          <w:sz w:val="20"/>
          <w:lang w:val="en-US"/>
        </w:rPr>
      </w:pPr>
      <w:r>
        <w:rPr>
          <w:sz w:val="20"/>
          <w:lang w:val="en-US"/>
        </w:rPr>
        <w:lastRenderedPageBreak/>
        <w:t>3</w:t>
      </w:r>
      <w:r w:rsidR="00526235" w:rsidRPr="0019455A">
        <w:rPr>
          <w:sz w:val="20"/>
          <w:lang w:val="en-US"/>
        </w:rPr>
        <w:t>. SCALING OF INITIAL MARGIN</w:t>
      </w:r>
    </w:p>
    <w:p w:rsidR="00526235" w:rsidRPr="0019455A" w:rsidRDefault="00526235" w:rsidP="004D32A7">
      <w:pPr>
        <w:tabs>
          <w:tab w:val="left" w:pos="3940"/>
          <w:tab w:val="left" w:pos="5660"/>
          <w:tab w:val="right" w:pos="8380"/>
        </w:tabs>
        <w:rPr>
          <w:sz w:val="20"/>
          <w:lang w:val="en-US"/>
        </w:rPr>
      </w:pPr>
    </w:p>
    <w:p w:rsidR="00526235" w:rsidRDefault="007D4FFD" w:rsidP="004D32A7">
      <w:pPr>
        <w:tabs>
          <w:tab w:val="left" w:pos="3940"/>
          <w:tab w:val="left" w:pos="5660"/>
          <w:tab w:val="right" w:pos="8380"/>
        </w:tabs>
        <w:rPr>
          <w:sz w:val="20"/>
          <w:lang w:val="en-US"/>
        </w:rPr>
      </w:pPr>
      <w:r>
        <w:rPr>
          <w:sz w:val="20"/>
          <w:lang w:val="en-US"/>
        </w:rPr>
        <w:t>For each market group indicated below,</w:t>
      </w:r>
      <w:r w:rsidR="00526235" w:rsidRPr="00526235">
        <w:rPr>
          <w:sz w:val="20"/>
          <w:lang w:val="en-US"/>
        </w:rPr>
        <w:t xml:space="preserve"> </w:t>
      </w:r>
      <w:r w:rsidR="00526235">
        <w:rPr>
          <w:sz w:val="20"/>
          <w:lang w:val="en-US"/>
        </w:rPr>
        <w:t xml:space="preserve">the sum of </w:t>
      </w:r>
      <w:r w:rsidR="003F0D46">
        <w:rPr>
          <w:sz w:val="20"/>
          <w:lang w:val="en-US"/>
        </w:rPr>
        <w:t>initial margin (</w:t>
      </w:r>
      <w:r w:rsidR="00526235" w:rsidRPr="00526235">
        <w:rPr>
          <w:sz w:val="20"/>
          <w:lang w:val="en-US"/>
        </w:rPr>
        <w:t>IM</w:t>
      </w:r>
      <w:r w:rsidR="003F0D46">
        <w:rPr>
          <w:sz w:val="20"/>
          <w:lang w:val="en-US"/>
        </w:rPr>
        <w:t>)</w:t>
      </w:r>
      <w:r w:rsidR="00526235" w:rsidRPr="00526235">
        <w:rPr>
          <w:sz w:val="20"/>
          <w:lang w:val="en-US"/>
        </w:rPr>
        <w:t xml:space="preserve"> for a margin </w:t>
      </w:r>
      <w:r w:rsidR="00526235">
        <w:rPr>
          <w:sz w:val="20"/>
          <w:lang w:val="en-US"/>
        </w:rPr>
        <w:t>calculation a</w:t>
      </w:r>
      <w:r w:rsidR="00526235" w:rsidRPr="00526235">
        <w:rPr>
          <w:sz w:val="20"/>
          <w:lang w:val="en-US"/>
        </w:rPr>
        <w:t>ccount</w:t>
      </w:r>
      <w:r w:rsidR="00526235">
        <w:rPr>
          <w:sz w:val="20"/>
          <w:lang w:val="en-US"/>
        </w:rPr>
        <w:t xml:space="preserve"> (*)</w:t>
      </w:r>
      <w:r w:rsidR="003F0D46">
        <w:rPr>
          <w:sz w:val="20"/>
          <w:lang w:val="en-US"/>
        </w:rPr>
        <w:t xml:space="preserve"> shall be increased by the </w:t>
      </w:r>
      <w:r w:rsidR="002E7589">
        <w:rPr>
          <w:sz w:val="20"/>
          <w:lang w:val="en-US"/>
        </w:rPr>
        <w:t xml:space="preserve">relevant </w:t>
      </w:r>
      <w:r w:rsidR="003F0D46">
        <w:rPr>
          <w:sz w:val="20"/>
          <w:lang w:val="en-US"/>
        </w:rPr>
        <w:t>scaling factor</w:t>
      </w:r>
      <w:r w:rsidR="00526235" w:rsidRPr="00526235">
        <w:rPr>
          <w:sz w:val="20"/>
          <w:lang w:val="en-US"/>
        </w:rPr>
        <w:t xml:space="preserve"> </w:t>
      </w:r>
      <w:r w:rsidR="00BD6BE0">
        <w:rPr>
          <w:sz w:val="20"/>
          <w:lang w:val="en-US"/>
        </w:rPr>
        <w:t>if</w:t>
      </w:r>
      <w:r w:rsidR="003F0D46">
        <w:rPr>
          <w:sz w:val="20"/>
          <w:lang w:val="en-US"/>
        </w:rPr>
        <w:t xml:space="preserve"> the </w:t>
      </w:r>
      <w:r w:rsidR="00BD6BE0">
        <w:rPr>
          <w:sz w:val="20"/>
          <w:lang w:val="en-US"/>
        </w:rPr>
        <w:t xml:space="preserve">IM (as scaled if applicable) for such margin calculation account exceeds any of the </w:t>
      </w:r>
      <w:r w:rsidR="003F0D46">
        <w:rPr>
          <w:sz w:val="20"/>
          <w:lang w:val="en-US"/>
        </w:rPr>
        <w:t>IM thresholds for scaling up</w:t>
      </w:r>
      <w:r w:rsidR="00526235" w:rsidRPr="00526235">
        <w:rPr>
          <w:sz w:val="20"/>
          <w:lang w:val="en-US"/>
        </w:rPr>
        <w:t>.</w:t>
      </w:r>
    </w:p>
    <w:p w:rsidR="003F0D46" w:rsidRDefault="003F0D46" w:rsidP="004D32A7">
      <w:pPr>
        <w:tabs>
          <w:tab w:val="left" w:pos="3940"/>
          <w:tab w:val="left" w:pos="5660"/>
          <w:tab w:val="right" w:pos="8380"/>
        </w:tabs>
        <w:rPr>
          <w:sz w:val="20"/>
          <w:lang w:val="en-US"/>
        </w:rPr>
      </w:pPr>
    </w:p>
    <w:p w:rsidR="00526235" w:rsidRPr="004F72CA" w:rsidRDefault="003F0D46" w:rsidP="004D32A7">
      <w:pPr>
        <w:tabs>
          <w:tab w:val="left" w:pos="3940"/>
          <w:tab w:val="left" w:pos="5660"/>
          <w:tab w:val="right" w:pos="8380"/>
        </w:tabs>
        <w:rPr>
          <w:sz w:val="20"/>
          <w:lang w:val="en-US"/>
        </w:rPr>
      </w:pPr>
      <w:r>
        <w:rPr>
          <w:sz w:val="20"/>
          <w:lang w:val="en-US"/>
        </w:rPr>
        <w:t xml:space="preserve">If </w:t>
      </w:r>
      <w:r w:rsidR="002E7589">
        <w:rPr>
          <w:sz w:val="20"/>
          <w:lang w:val="en-US"/>
        </w:rPr>
        <w:t xml:space="preserve">the sum of </w:t>
      </w:r>
      <w:r w:rsidR="00BD6BE0">
        <w:rPr>
          <w:sz w:val="20"/>
          <w:lang w:val="en-US"/>
        </w:rPr>
        <w:t xml:space="preserve">scaled </w:t>
      </w:r>
      <w:r>
        <w:rPr>
          <w:sz w:val="20"/>
          <w:lang w:val="en-US"/>
        </w:rPr>
        <w:t xml:space="preserve">IM </w:t>
      </w:r>
      <w:r w:rsidR="002E7589">
        <w:rPr>
          <w:sz w:val="20"/>
          <w:lang w:val="en-US"/>
        </w:rPr>
        <w:t>falls</w:t>
      </w:r>
      <w:r>
        <w:rPr>
          <w:sz w:val="20"/>
          <w:lang w:val="en-US"/>
        </w:rPr>
        <w:t xml:space="preserve"> below </w:t>
      </w:r>
      <w:r w:rsidR="00BD6BE0">
        <w:rPr>
          <w:sz w:val="20"/>
          <w:lang w:val="en-US"/>
        </w:rPr>
        <w:t xml:space="preserve">any of </w:t>
      </w:r>
      <w:r>
        <w:rPr>
          <w:sz w:val="20"/>
          <w:lang w:val="en-US"/>
        </w:rPr>
        <w:t>the</w:t>
      </w:r>
      <w:r w:rsidR="004F72CA">
        <w:rPr>
          <w:sz w:val="20"/>
          <w:lang w:val="en-US"/>
        </w:rPr>
        <w:t xml:space="preserve"> IM</w:t>
      </w:r>
      <w:r>
        <w:rPr>
          <w:sz w:val="20"/>
          <w:lang w:val="en-US"/>
        </w:rPr>
        <w:t xml:space="preserve"> thresholds for scaling reduction</w:t>
      </w:r>
      <w:r w:rsidR="00BD6BE0">
        <w:rPr>
          <w:sz w:val="20"/>
          <w:lang w:val="en-US"/>
        </w:rPr>
        <w:t>,</w:t>
      </w:r>
      <w:r>
        <w:rPr>
          <w:sz w:val="20"/>
          <w:lang w:val="en-US"/>
        </w:rPr>
        <w:t xml:space="preserve"> the scaling factor shall be </w:t>
      </w:r>
      <w:r w:rsidR="00BD6BE0">
        <w:rPr>
          <w:sz w:val="20"/>
          <w:lang w:val="en-US"/>
        </w:rPr>
        <w:t xml:space="preserve">reduced or </w:t>
      </w:r>
      <w:r>
        <w:rPr>
          <w:sz w:val="20"/>
          <w:lang w:val="en-US"/>
        </w:rPr>
        <w:t xml:space="preserve">removed </w:t>
      </w:r>
      <w:r w:rsidR="00BD6BE0">
        <w:rPr>
          <w:sz w:val="20"/>
          <w:lang w:val="en-US"/>
        </w:rPr>
        <w:t xml:space="preserve">(as applicable) </w:t>
      </w:r>
      <w:r>
        <w:rPr>
          <w:sz w:val="20"/>
          <w:lang w:val="en-US"/>
        </w:rPr>
        <w:t>on request by the Clearing Member or the Customer.</w:t>
      </w:r>
    </w:p>
    <w:p w:rsidR="00526235" w:rsidRDefault="00526235" w:rsidP="004D32A7">
      <w:pPr>
        <w:tabs>
          <w:tab w:val="left" w:pos="3940"/>
          <w:tab w:val="left" w:pos="5660"/>
          <w:tab w:val="right" w:pos="8380"/>
        </w:tabs>
        <w:rPr>
          <w:sz w:val="20"/>
          <w:lang w:val="en-US"/>
        </w:rPr>
      </w:pPr>
    </w:p>
    <w:p w:rsidR="00526235" w:rsidRPr="00526235" w:rsidRDefault="00526235" w:rsidP="004D32A7">
      <w:pPr>
        <w:tabs>
          <w:tab w:val="left" w:pos="3940"/>
          <w:tab w:val="left" w:pos="5660"/>
          <w:tab w:val="right" w:pos="8380"/>
        </w:tabs>
        <w:rPr>
          <w:sz w:val="20"/>
          <w:lang w:val="en-US"/>
        </w:rPr>
      </w:pPr>
      <w:r>
        <w:rPr>
          <w:sz w:val="20"/>
          <w:lang w:val="en-US"/>
        </w:rPr>
        <w:t xml:space="preserve">(*) A </w:t>
      </w:r>
      <w:r w:rsidRPr="00526235">
        <w:rPr>
          <w:sz w:val="20"/>
          <w:lang w:val="en-US"/>
        </w:rPr>
        <w:t xml:space="preserve">margin </w:t>
      </w:r>
      <w:r>
        <w:rPr>
          <w:sz w:val="20"/>
          <w:lang w:val="en-US"/>
        </w:rPr>
        <w:t>calculation a</w:t>
      </w:r>
      <w:r w:rsidRPr="00526235">
        <w:rPr>
          <w:sz w:val="20"/>
          <w:lang w:val="en-US"/>
        </w:rPr>
        <w:t>ccount</w:t>
      </w:r>
      <w:r>
        <w:rPr>
          <w:sz w:val="20"/>
          <w:lang w:val="en-US"/>
        </w:rPr>
        <w:t xml:space="preserve"> is </w:t>
      </w:r>
      <w:r w:rsidR="00B50655">
        <w:rPr>
          <w:sz w:val="20"/>
          <w:lang w:val="en-US"/>
        </w:rPr>
        <w:t>an</w:t>
      </w:r>
      <w:r>
        <w:rPr>
          <w:sz w:val="20"/>
          <w:lang w:val="en-US"/>
        </w:rPr>
        <w:t xml:space="preserve"> account where the margin calculation is performed. The margin calculated on a </w:t>
      </w:r>
      <w:r w:rsidRPr="00526235">
        <w:rPr>
          <w:sz w:val="20"/>
          <w:lang w:val="en-US"/>
        </w:rPr>
        <w:t xml:space="preserve">margin </w:t>
      </w:r>
      <w:r>
        <w:rPr>
          <w:sz w:val="20"/>
          <w:lang w:val="en-US"/>
        </w:rPr>
        <w:t>calculation a</w:t>
      </w:r>
      <w:r w:rsidRPr="00526235">
        <w:rPr>
          <w:sz w:val="20"/>
          <w:lang w:val="en-US"/>
        </w:rPr>
        <w:t>ccount</w:t>
      </w:r>
      <w:r>
        <w:rPr>
          <w:sz w:val="20"/>
          <w:lang w:val="en-US"/>
        </w:rPr>
        <w:t xml:space="preserve"> is aggregated on a Margin Requirement Account.</w:t>
      </w:r>
    </w:p>
    <w:p w:rsidR="00526235" w:rsidRPr="00526235" w:rsidRDefault="00526235" w:rsidP="004D32A7">
      <w:pPr>
        <w:tabs>
          <w:tab w:val="left" w:pos="3940"/>
          <w:tab w:val="left" w:pos="5660"/>
          <w:tab w:val="right" w:pos="8380"/>
        </w:tabs>
        <w:rPr>
          <w:sz w:val="20"/>
          <w:lang w:val="en-US"/>
        </w:rPr>
      </w:pPr>
    </w:p>
    <w:p w:rsidR="00526235" w:rsidRPr="0019455A" w:rsidRDefault="00526235" w:rsidP="004D32A7">
      <w:pPr>
        <w:tabs>
          <w:tab w:val="left" w:pos="3940"/>
          <w:tab w:val="left" w:pos="5660"/>
          <w:tab w:val="right" w:pos="8380"/>
        </w:tabs>
        <w:rPr>
          <w:sz w:val="20"/>
          <w:lang w:val="en-US"/>
        </w:rPr>
      </w:pPr>
      <w:r w:rsidRPr="0019455A">
        <w:rPr>
          <w:sz w:val="20"/>
          <w:lang w:val="en-US"/>
        </w:rPr>
        <w:t>Currency: SEK</w:t>
      </w:r>
    </w:p>
    <w:p w:rsidR="00841076" w:rsidRPr="0019455A" w:rsidRDefault="00841076" w:rsidP="004D32A7">
      <w:pPr>
        <w:tabs>
          <w:tab w:val="left" w:pos="3940"/>
          <w:tab w:val="left" w:pos="5660"/>
          <w:tab w:val="right" w:pos="8380"/>
        </w:tabs>
        <w:rPr>
          <w:sz w:val="20"/>
          <w:lang w:val="en-US"/>
        </w:rPr>
      </w:pPr>
    </w:p>
    <w:p w:rsidR="00526235" w:rsidRPr="00815737" w:rsidRDefault="00526235" w:rsidP="004D32A7">
      <w:pPr>
        <w:tabs>
          <w:tab w:val="left" w:pos="3940"/>
          <w:tab w:val="left" w:pos="5660"/>
          <w:tab w:val="right" w:pos="8380"/>
        </w:tabs>
        <w:rPr>
          <w:b/>
          <w:sz w:val="20"/>
          <w:lang w:val="en-US"/>
        </w:rPr>
      </w:pPr>
      <w:r w:rsidRPr="00815737">
        <w:rPr>
          <w:b/>
          <w:sz w:val="20"/>
          <w:lang w:val="en-US"/>
        </w:rPr>
        <w:t>Market</w:t>
      </w:r>
      <w:r w:rsidR="00841076" w:rsidRPr="00815737">
        <w:rPr>
          <w:b/>
          <w:sz w:val="20"/>
          <w:lang w:val="en-US"/>
        </w:rPr>
        <w:t xml:space="preserve"> group</w:t>
      </w:r>
      <w:r w:rsidR="005C573F">
        <w:rPr>
          <w:b/>
          <w:sz w:val="20"/>
          <w:lang w:val="en-US"/>
        </w:rPr>
        <w:t>: Swedish Index and Swedish Flexible</w:t>
      </w:r>
      <w:r w:rsidRPr="00815737">
        <w:rPr>
          <w:b/>
          <w:sz w:val="20"/>
          <w:lang w:val="en-US"/>
        </w:rPr>
        <w:t xml:space="preserve"> Index</w:t>
      </w:r>
    </w:p>
    <w:p w:rsidR="00841076" w:rsidRPr="00841076" w:rsidRDefault="00841076" w:rsidP="004D32A7">
      <w:pPr>
        <w:tabs>
          <w:tab w:val="left" w:pos="3940"/>
          <w:tab w:val="left" w:pos="5660"/>
          <w:tab w:val="right" w:pos="8380"/>
        </w:tabs>
        <w:rPr>
          <w:sz w:val="20"/>
          <w:lang w:val="en-US"/>
        </w:rPr>
      </w:pPr>
    </w:p>
    <w:p w:rsidR="00526235" w:rsidRDefault="00841076" w:rsidP="004D32A7">
      <w:pPr>
        <w:tabs>
          <w:tab w:val="left" w:pos="3940"/>
          <w:tab w:val="left" w:pos="5660"/>
          <w:tab w:val="right" w:pos="8380"/>
        </w:tabs>
        <w:rPr>
          <w:sz w:val="20"/>
          <w:lang w:val="en-US"/>
        </w:rPr>
      </w:pPr>
      <w:r>
        <w:rPr>
          <w:sz w:val="20"/>
          <w:lang w:val="en-US"/>
        </w:rPr>
        <w:t>Holder of margin calculation account</w:t>
      </w:r>
    </w:p>
    <w:tbl>
      <w:tblPr>
        <w:tblW w:w="7670" w:type="dxa"/>
        <w:tblInd w:w="55" w:type="dxa"/>
        <w:tblCellMar>
          <w:left w:w="70" w:type="dxa"/>
          <w:right w:w="70" w:type="dxa"/>
        </w:tblCellMar>
        <w:tblLook w:val="04A0" w:firstRow="1" w:lastRow="0" w:firstColumn="1" w:lastColumn="0" w:noHBand="0" w:noVBand="1"/>
      </w:tblPr>
      <w:tblGrid>
        <w:gridCol w:w="880"/>
        <w:gridCol w:w="2537"/>
        <w:gridCol w:w="1276"/>
        <w:gridCol w:w="2977"/>
      </w:tblGrid>
      <w:tr w:rsidR="00E71FEC" w:rsidRPr="005F57F2" w:rsidTr="00711DF2">
        <w:trPr>
          <w:trHeight w:val="300"/>
        </w:trPr>
        <w:tc>
          <w:tcPr>
            <w:tcW w:w="880" w:type="dxa"/>
            <w:tcBorders>
              <w:top w:val="nil"/>
              <w:left w:val="nil"/>
              <w:bottom w:val="single" w:sz="4" w:space="0" w:color="auto"/>
              <w:right w:val="nil"/>
            </w:tcBorders>
            <w:shd w:val="clear" w:color="auto" w:fill="auto"/>
            <w:noWrap/>
            <w:vAlign w:val="bottom"/>
            <w:hideMark/>
          </w:tcPr>
          <w:p w:rsidR="00E71FEC" w:rsidRPr="0095405F" w:rsidRDefault="00E71FEC" w:rsidP="004D32A7">
            <w:pPr>
              <w:rPr>
                <w:sz w:val="20"/>
                <w:lang w:val="en-US"/>
              </w:rPr>
            </w:pPr>
            <w:r w:rsidRPr="0095405F">
              <w:rPr>
                <w:sz w:val="20"/>
                <w:lang w:val="en-US"/>
              </w:rPr>
              <w:t>Limit nr</w:t>
            </w:r>
          </w:p>
        </w:tc>
        <w:tc>
          <w:tcPr>
            <w:tcW w:w="2537" w:type="dxa"/>
            <w:tcBorders>
              <w:top w:val="nil"/>
              <w:left w:val="nil"/>
              <w:bottom w:val="single" w:sz="4" w:space="0" w:color="auto"/>
              <w:right w:val="nil"/>
            </w:tcBorders>
            <w:shd w:val="clear" w:color="auto" w:fill="auto"/>
            <w:noWrap/>
            <w:vAlign w:val="bottom"/>
            <w:hideMark/>
          </w:tcPr>
          <w:p w:rsidR="00E71FEC" w:rsidRPr="0095405F" w:rsidRDefault="00E71FEC" w:rsidP="004D32A7">
            <w:pPr>
              <w:rPr>
                <w:sz w:val="20"/>
                <w:lang w:val="en-US"/>
              </w:rPr>
            </w:pPr>
            <w:r w:rsidRPr="0095405F">
              <w:rPr>
                <w:sz w:val="20"/>
                <w:lang w:val="en-US"/>
              </w:rPr>
              <w:t xml:space="preserve">IM </w:t>
            </w:r>
            <w:r w:rsidR="003F0D46">
              <w:rPr>
                <w:sz w:val="20"/>
                <w:lang w:val="en-US"/>
              </w:rPr>
              <w:t xml:space="preserve">thresholds </w:t>
            </w:r>
            <w:r w:rsidRPr="0095405F">
              <w:rPr>
                <w:sz w:val="20"/>
                <w:lang w:val="en-US"/>
              </w:rPr>
              <w:t>for scaling up</w:t>
            </w:r>
          </w:p>
        </w:tc>
        <w:tc>
          <w:tcPr>
            <w:tcW w:w="1276" w:type="dxa"/>
            <w:tcBorders>
              <w:top w:val="nil"/>
              <w:left w:val="nil"/>
              <w:bottom w:val="single" w:sz="4" w:space="0" w:color="auto"/>
              <w:right w:val="nil"/>
            </w:tcBorders>
            <w:shd w:val="clear" w:color="auto" w:fill="auto"/>
            <w:noWrap/>
            <w:vAlign w:val="bottom"/>
            <w:hideMark/>
          </w:tcPr>
          <w:p w:rsidR="00E71FEC" w:rsidRPr="0095405F" w:rsidRDefault="00E71FEC" w:rsidP="004D32A7">
            <w:pPr>
              <w:rPr>
                <w:sz w:val="20"/>
                <w:lang w:val="en-US"/>
              </w:rPr>
            </w:pPr>
            <w:r w:rsidRPr="0095405F">
              <w:rPr>
                <w:sz w:val="20"/>
                <w:lang w:val="en-US"/>
              </w:rPr>
              <w:t>Scaling factor</w:t>
            </w:r>
          </w:p>
        </w:tc>
        <w:tc>
          <w:tcPr>
            <w:tcW w:w="2977" w:type="dxa"/>
            <w:tcBorders>
              <w:top w:val="nil"/>
              <w:left w:val="nil"/>
              <w:bottom w:val="single" w:sz="4" w:space="0" w:color="auto"/>
              <w:right w:val="nil"/>
            </w:tcBorders>
            <w:shd w:val="clear" w:color="auto" w:fill="auto"/>
            <w:noWrap/>
            <w:vAlign w:val="bottom"/>
            <w:hideMark/>
          </w:tcPr>
          <w:p w:rsidR="00E71FEC" w:rsidRPr="0095405F" w:rsidRDefault="00E71FEC" w:rsidP="004D32A7">
            <w:pPr>
              <w:rPr>
                <w:sz w:val="20"/>
                <w:lang w:val="en-US"/>
              </w:rPr>
            </w:pPr>
            <w:r w:rsidRPr="0095405F">
              <w:rPr>
                <w:sz w:val="20"/>
                <w:lang w:val="en-US"/>
              </w:rPr>
              <w:t xml:space="preserve">IM </w:t>
            </w:r>
            <w:r w:rsidR="004F72CA">
              <w:rPr>
                <w:sz w:val="20"/>
                <w:lang w:val="en-US"/>
              </w:rPr>
              <w:t>thresholds</w:t>
            </w:r>
            <w:r w:rsidR="004F72CA" w:rsidRPr="0095405F">
              <w:rPr>
                <w:sz w:val="20"/>
                <w:lang w:val="en-US"/>
              </w:rPr>
              <w:t xml:space="preserve"> </w:t>
            </w:r>
            <w:r w:rsidRPr="0095405F">
              <w:rPr>
                <w:sz w:val="20"/>
                <w:lang w:val="en-US"/>
              </w:rPr>
              <w:t xml:space="preserve">for scaling </w:t>
            </w:r>
            <w:r w:rsidR="004F72CA">
              <w:rPr>
                <w:sz w:val="20"/>
                <w:lang w:val="en-US"/>
              </w:rPr>
              <w:t>reduction</w:t>
            </w:r>
          </w:p>
        </w:tc>
      </w:tr>
      <w:tr w:rsidR="00E71FEC" w:rsidRPr="0095405F" w:rsidTr="00815737">
        <w:trPr>
          <w:trHeight w:val="300"/>
        </w:trPr>
        <w:tc>
          <w:tcPr>
            <w:tcW w:w="880" w:type="dxa"/>
            <w:tcBorders>
              <w:top w:val="single" w:sz="4" w:space="0" w:color="auto"/>
            </w:tcBorders>
            <w:shd w:val="clear" w:color="auto" w:fill="auto"/>
            <w:noWrap/>
            <w:vAlign w:val="bottom"/>
            <w:hideMark/>
          </w:tcPr>
          <w:p w:rsidR="00E71FEC" w:rsidRPr="0095405F" w:rsidRDefault="00E71FEC" w:rsidP="004D32A7">
            <w:pPr>
              <w:rPr>
                <w:sz w:val="20"/>
                <w:lang w:val="en-US"/>
              </w:rPr>
            </w:pPr>
            <w:r w:rsidRPr="0095405F">
              <w:rPr>
                <w:sz w:val="20"/>
                <w:lang w:val="en-US"/>
              </w:rPr>
              <w:t>1</w:t>
            </w:r>
          </w:p>
        </w:tc>
        <w:tc>
          <w:tcPr>
            <w:tcW w:w="2537" w:type="dxa"/>
            <w:tcBorders>
              <w:top w:val="single" w:sz="4" w:space="0" w:color="auto"/>
            </w:tcBorders>
            <w:shd w:val="clear" w:color="auto" w:fill="auto"/>
            <w:noWrap/>
            <w:vAlign w:val="bottom"/>
            <w:hideMark/>
          </w:tcPr>
          <w:p w:rsidR="00E71FEC" w:rsidRPr="0095405F" w:rsidRDefault="00662B75" w:rsidP="00F25A94">
            <w:pPr>
              <w:rPr>
                <w:sz w:val="20"/>
                <w:lang w:val="en-US"/>
              </w:rPr>
            </w:pPr>
            <w:r>
              <w:rPr>
                <w:sz w:val="20"/>
                <w:lang w:val="en-US"/>
              </w:rPr>
              <w:t>9</w:t>
            </w:r>
            <w:r w:rsidRPr="0095405F">
              <w:rPr>
                <w:sz w:val="20"/>
                <w:lang w:val="en-US"/>
              </w:rPr>
              <w:t xml:space="preserve">00 </w:t>
            </w:r>
            <w:r w:rsidR="00E71FEC" w:rsidRPr="0095405F">
              <w:rPr>
                <w:sz w:val="20"/>
                <w:lang w:val="en-US"/>
              </w:rPr>
              <w:t>000</w:t>
            </w:r>
            <w:r w:rsidR="00C80920">
              <w:rPr>
                <w:sz w:val="20"/>
                <w:lang w:val="en-US"/>
              </w:rPr>
              <w:t> </w:t>
            </w:r>
            <w:r w:rsidR="00E71FEC" w:rsidRPr="0095405F">
              <w:rPr>
                <w:sz w:val="20"/>
                <w:lang w:val="en-US"/>
              </w:rPr>
              <w:t>000</w:t>
            </w:r>
          </w:p>
        </w:tc>
        <w:tc>
          <w:tcPr>
            <w:tcW w:w="1276" w:type="dxa"/>
            <w:tcBorders>
              <w:top w:val="single" w:sz="4" w:space="0" w:color="auto"/>
            </w:tcBorders>
            <w:shd w:val="clear" w:color="auto" w:fill="auto"/>
            <w:noWrap/>
            <w:vAlign w:val="bottom"/>
            <w:hideMark/>
          </w:tcPr>
          <w:p w:rsidR="00E71FEC" w:rsidRPr="0095405F" w:rsidRDefault="00E71FEC" w:rsidP="004D32A7">
            <w:pPr>
              <w:rPr>
                <w:sz w:val="20"/>
                <w:lang w:val="en-US"/>
              </w:rPr>
            </w:pPr>
            <w:r w:rsidRPr="0095405F">
              <w:rPr>
                <w:sz w:val="20"/>
                <w:lang w:val="en-US"/>
              </w:rPr>
              <w:t>15%</w:t>
            </w:r>
          </w:p>
        </w:tc>
        <w:tc>
          <w:tcPr>
            <w:tcW w:w="2977" w:type="dxa"/>
            <w:tcBorders>
              <w:top w:val="single" w:sz="4" w:space="0" w:color="auto"/>
            </w:tcBorders>
            <w:shd w:val="clear" w:color="auto" w:fill="auto"/>
            <w:noWrap/>
            <w:vAlign w:val="bottom"/>
            <w:hideMark/>
          </w:tcPr>
          <w:p w:rsidR="00E71FEC" w:rsidRPr="0095405F" w:rsidRDefault="00662B75" w:rsidP="00F25A94">
            <w:pPr>
              <w:rPr>
                <w:sz w:val="20"/>
                <w:lang w:val="en-US"/>
              </w:rPr>
            </w:pPr>
            <w:r>
              <w:rPr>
                <w:sz w:val="20"/>
                <w:lang w:val="en-US"/>
              </w:rPr>
              <w:t>1 0</w:t>
            </w:r>
            <w:r w:rsidRPr="0095405F">
              <w:rPr>
                <w:sz w:val="20"/>
                <w:lang w:val="en-US"/>
              </w:rPr>
              <w:t xml:space="preserve">00 </w:t>
            </w:r>
            <w:r w:rsidR="00E71FEC" w:rsidRPr="0095405F">
              <w:rPr>
                <w:sz w:val="20"/>
                <w:lang w:val="en-US"/>
              </w:rPr>
              <w:t>000 000</w:t>
            </w:r>
          </w:p>
        </w:tc>
      </w:tr>
      <w:tr w:rsidR="00E71FEC" w:rsidRPr="0095405F" w:rsidTr="00711DF2">
        <w:trPr>
          <w:trHeight w:val="300"/>
        </w:trPr>
        <w:tc>
          <w:tcPr>
            <w:tcW w:w="880" w:type="dxa"/>
            <w:tcBorders>
              <w:bottom w:val="single" w:sz="4" w:space="0" w:color="auto"/>
            </w:tcBorders>
            <w:shd w:val="clear" w:color="auto" w:fill="auto"/>
            <w:noWrap/>
            <w:vAlign w:val="bottom"/>
            <w:hideMark/>
          </w:tcPr>
          <w:p w:rsidR="00E71FEC" w:rsidRPr="0095405F" w:rsidRDefault="00E71FEC" w:rsidP="004D32A7">
            <w:pPr>
              <w:rPr>
                <w:sz w:val="20"/>
                <w:lang w:val="en-US"/>
              </w:rPr>
            </w:pPr>
            <w:r w:rsidRPr="0095405F">
              <w:rPr>
                <w:sz w:val="20"/>
                <w:lang w:val="en-US"/>
              </w:rPr>
              <w:t>2</w:t>
            </w:r>
          </w:p>
        </w:tc>
        <w:tc>
          <w:tcPr>
            <w:tcW w:w="2537" w:type="dxa"/>
            <w:tcBorders>
              <w:bottom w:val="single" w:sz="4" w:space="0" w:color="auto"/>
            </w:tcBorders>
            <w:shd w:val="clear" w:color="auto" w:fill="auto"/>
            <w:noWrap/>
            <w:vAlign w:val="bottom"/>
            <w:hideMark/>
          </w:tcPr>
          <w:p w:rsidR="00E71FEC" w:rsidRPr="0095405F" w:rsidRDefault="00C80920" w:rsidP="004D32A7">
            <w:pPr>
              <w:rPr>
                <w:sz w:val="20"/>
                <w:lang w:val="en-US"/>
              </w:rPr>
            </w:pPr>
            <w:r>
              <w:rPr>
                <w:sz w:val="20"/>
                <w:lang w:val="en-US"/>
              </w:rPr>
              <w:t>1 6</w:t>
            </w:r>
            <w:r w:rsidR="00E71FEC" w:rsidRPr="0095405F">
              <w:rPr>
                <w:sz w:val="20"/>
                <w:lang w:val="en-US"/>
              </w:rPr>
              <w:t>00 000 000</w:t>
            </w:r>
          </w:p>
        </w:tc>
        <w:tc>
          <w:tcPr>
            <w:tcW w:w="1276" w:type="dxa"/>
            <w:tcBorders>
              <w:bottom w:val="single" w:sz="4" w:space="0" w:color="auto"/>
            </w:tcBorders>
            <w:shd w:val="clear" w:color="auto" w:fill="auto"/>
            <w:noWrap/>
            <w:vAlign w:val="bottom"/>
            <w:hideMark/>
          </w:tcPr>
          <w:p w:rsidR="00E71FEC" w:rsidRPr="0095405F" w:rsidRDefault="00F25A94" w:rsidP="004D32A7">
            <w:pPr>
              <w:rPr>
                <w:sz w:val="20"/>
                <w:lang w:val="en-US"/>
              </w:rPr>
            </w:pPr>
            <w:r>
              <w:rPr>
                <w:sz w:val="20"/>
                <w:lang w:val="en-US"/>
              </w:rPr>
              <w:t>25</w:t>
            </w:r>
            <w:r w:rsidR="00E71FEC" w:rsidRPr="0095405F">
              <w:rPr>
                <w:sz w:val="20"/>
                <w:lang w:val="en-US"/>
              </w:rPr>
              <w:t>%</w:t>
            </w:r>
          </w:p>
        </w:tc>
        <w:tc>
          <w:tcPr>
            <w:tcW w:w="2977" w:type="dxa"/>
            <w:tcBorders>
              <w:bottom w:val="single" w:sz="4" w:space="0" w:color="auto"/>
            </w:tcBorders>
            <w:shd w:val="clear" w:color="auto" w:fill="auto"/>
            <w:noWrap/>
            <w:vAlign w:val="bottom"/>
            <w:hideMark/>
          </w:tcPr>
          <w:p w:rsidR="00E71FEC" w:rsidRPr="0095405F" w:rsidRDefault="00C80920" w:rsidP="00F25A94">
            <w:pPr>
              <w:rPr>
                <w:sz w:val="20"/>
                <w:lang w:val="en-US"/>
              </w:rPr>
            </w:pPr>
            <w:r>
              <w:rPr>
                <w:sz w:val="20"/>
                <w:lang w:val="en-US"/>
              </w:rPr>
              <w:t>1</w:t>
            </w:r>
            <w:r w:rsidR="00E71FEC" w:rsidRPr="0095405F">
              <w:rPr>
                <w:sz w:val="20"/>
                <w:lang w:val="en-US"/>
              </w:rPr>
              <w:t xml:space="preserve"> </w:t>
            </w:r>
            <w:r>
              <w:rPr>
                <w:sz w:val="20"/>
                <w:lang w:val="en-US"/>
              </w:rPr>
              <w:t>7</w:t>
            </w:r>
            <w:r w:rsidR="00E71FEC" w:rsidRPr="0095405F">
              <w:rPr>
                <w:sz w:val="20"/>
                <w:lang w:val="en-US"/>
              </w:rPr>
              <w:t>00 000 000</w:t>
            </w:r>
          </w:p>
        </w:tc>
      </w:tr>
    </w:tbl>
    <w:p w:rsidR="00841076" w:rsidRPr="00841076" w:rsidRDefault="00841076" w:rsidP="004D32A7">
      <w:pPr>
        <w:tabs>
          <w:tab w:val="left" w:pos="3940"/>
          <w:tab w:val="left" w:pos="5660"/>
          <w:tab w:val="right" w:pos="8380"/>
        </w:tabs>
        <w:rPr>
          <w:sz w:val="20"/>
          <w:lang w:val="en-US"/>
        </w:rPr>
      </w:pPr>
    </w:p>
    <w:p w:rsidR="00526235" w:rsidRPr="00815737" w:rsidRDefault="00841076" w:rsidP="004D32A7">
      <w:pPr>
        <w:ind w:right="-642"/>
        <w:rPr>
          <w:b/>
          <w:sz w:val="20"/>
          <w:lang w:val="en-US"/>
        </w:rPr>
      </w:pPr>
      <w:r w:rsidRPr="00815737">
        <w:rPr>
          <w:b/>
          <w:sz w:val="20"/>
          <w:lang w:val="en-US"/>
        </w:rPr>
        <w:t>Market group</w:t>
      </w:r>
      <w:r w:rsidR="00526235" w:rsidRPr="00815737">
        <w:rPr>
          <w:b/>
          <w:sz w:val="20"/>
          <w:lang w:val="en-US"/>
        </w:rPr>
        <w:t>: Swedish Bond</w:t>
      </w:r>
    </w:p>
    <w:p w:rsidR="00E71FEC" w:rsidRPr="00815737" w:rsidRDefault="00E71FEC" w:rsidP="004D32A7">
      <w:pPr>
        <w:ind w:right="-642"/>
        <w:rPr>
          <w:sz w:val="20"/>
          <w:lang w:val="en-US"/>
        </w:rPr>
      </w:pPr>
    </w:p>
    <w:p w:rsidR="00E71FEC" w:rsidRDefault="00E71FEC" w:rsidP="004D32A7">
      <w:pPr>
        <w:tabs>
          <w:tab w:val="left" w:pos="3940"/>
          <w:tab w:val="left" w:pos="5660"/>
          <w:tab w:val="right" w:pos="8380"/>
        </w:tabs>
        <w:rPr>
          <w:sz w:val="20"/>
          <w:lang w:val="en-US"/>
        </w:rPr>
      </w:pPr>
      <w:r>
        <w:rPr>
          <w:sz w:val="20"/>
          <w:lang w:val="en-US"/>
        </w:rPr>
        <w:t>Holder of margin calculation account</w:t>
      </w:r>
    </w:p>
    <w:tbl>
      <w:tblPr>
        <w:tblW w:w="7670" w:type="dxa"/>
        <w:tblInd w:w="55" w:type="dxa"/>
        <w:tblCellMar>
          <w:left w:w="70" w:type="dxa"/>
          <w:right w:w="70" w:type="dxa"/>
        </w:tblCellMar>
        <w:tblLook w:val="04A0" w:firstRow="1" w:lastRow="0" w:firstColumn="1" w:lastColumn="0" w:noHBand="0" w:noVBand="1"/>
      </w:tblPr>
      <w:tblGrid>
        <w:gridCol w:w="880"/>
        <w:gridCol w:w="2537"/>
        <w:gridCol w:w="1276"/>
        <w:gridCol w:w="2977"/>
      </w:tblGrid>
      <w:tr w:rsidR="00711DF2" w:rsidRPr="005F57F2" w:rsidTr="00173CC4">
        <w:trPr>
          <w:trHeight w:val="300"/>
        </w:trPr>
        <w:tc>
          <w:tcPr>
            <w:tcW w:w="880" w:type="dxa"/>
            <w:tcBorders>
              <w:top w:val="nil"/>
              <w:left w:val="nil"/>
              <w:bottom w:val="single" w:sz="4" w:space="0" w:color="auto"/>
              <w:right w:val="nil"/>
            </w:tcBorders>
            <w:shd w:val="clear" w:color="auto" w:fill="auto"/>
            <w:noWrap/>
            <w:vAlign w:val="bottom"/>
            <w:hideMark/>
          </w:tcPr>
          <w:p w:rsidR="00711DF2" w:rsidRPr="0095405F" w:rsidRDefault="00711DF2" w:rsidP="00173CC4">
            <w:pPr>
              <w:rPr>
                <w:sz w:val="20"/>
                <w:lang w:val="en-US"/>
              </w:rPr>
            </w:pPr>
            <w:r w:rsidRPr="0095405F">
              <w:rPr>
                <w:sz w:val="20"/>
                <w:lang w:val="en-US"/>
              </w:rPr>
              <w:t>Limit nr</w:t>
            </w:r>
          </w:p>
        </w:tc>
        <w:tc>
          <w:tcPr>
            <w:tcW w:w="2537" w:type="dxa"/>
            <w:tcBorders>
              <w:top w:val="nil"/>
              <w:left w:val="nil"/>
              <w:bottom w:val="single" w:sz="4" w:space="0" w:color="auto"/>
              <w:right w:val="nil"/>
            </w:tcBorders>
            <w:shd w:val="clear" w:color="auto" w:fill="auto"/>
            <w:noWrap/>
            <w:vAlign w:val="bottom"/>
            <w:hideMark/>
          </w:tcPr>
          <w:p w:rsidR="00711DF2" w:rsidRPr="0095405F" w:rsidRDefault="00711DF2" w:rsidP="00173CC4">
            <w:pPr>
              <w:rPr>
                <w:sz w:val="20"/>
                <w:lang w:val="en-US"/>
              </w:rPr>
            </w:pPr>
            <w:r w:rsidRPr="0095405F">
              <w:rPr>
                <w:sz w:val="20"/>
                <w:lang w:val="en-US"/>
              </w:rPr>
              <w:t xml:space="preserve">IM </w:t>
            </w:r>
            <w:r>
              <w:rPr>
                <w:sz w:val="20"/>
                <w:lang w:val="en-US"/>
              </w:rPr>
              <w:t xml:space="preserve">thresholds </w:t>
            </w:r>
            <w:r w:rsidRPr="0095405F">
              <w:rPr>
                <w:sz w:val="20"/>
                <w:lang w:val="en-US"/>
              </w:rPr>
              <w:t>for scaling up</w:t>
            </w:r>
          </w:p>
        </w:tc>
        <w:tc>
          <w:tcPr>
            <w:tcW w:w="1276" w:type="dxa"/>
            <w:tcBorders>
              <w:top w:val="nil"/>
              <w:left w:val="nil"/>
              <w:bottom w:val="single" w:sz="4" w:space="0" w:color="auto"/>
              <w:right w:val="nil"/>
            </w:tcBorders>
            <w:shd w:val="clear" w:color="auto" w:fill="auto"/>
            <w:noWrap/>
            <w:vAlign w:val="bottom"/>
            <w:hideMark/>
          </w:tcPr>
          <w:p w:rsidR="00711DF2" w:rsidRPr="0095405F" w:rsidRDefault="00711DF2" w:rsidP="00173CC4">
            <w:pPr>
              <w:rPr>
                <w:sz w:val="20"/>
                <w:lang w:val="en-US"/>
              </w:rPr>
            </w:pPr>
            <w:r w:rsidRPr="0095405F">
              <w:rPr>
                <w:sz w:val="20"/>
                <w:lang w:val="en-US"/>
              </w:rPr>
              <w:t>Scaling factor</w:t>
            </w:r>
          </w:p>
        </w:tc>
        <w:tc>
          <w:tcPr>
            <w:tcW w:w="2977" w:type="dxa"/>
            <w:tcBorders>
              <w:top w:val="nil"/>
              <w:left w:val="nil"/>
              <w:bottom w:val="single" w:sz="4" w:space="0" w:color="auto"/>
              <w:right w:val="nil"/>
            </w:tcBorders>
            <w:shd w:val="clear" w:color="auto" w:fill="auto"/>
            <w:noWrap/>
            <w:vAlign w:val="bottom"/>
            <w:hideMark/>
          </w:tcPr>
          <w:p w:rsidR="00711DF2" w:rsidRPr="0095405F" w:rsidRDefault="00711DF2" w:rsidP="00173CC4">
            <w:pPr>
              <w:rPr>
                <w:sz w:val="20"/>
                <w:lang w:val="en-US"/>
              </w:rPr>
            </w:pPr>
            <w:r w:rsidRPr="0095405F">
              <w:rPr>
                <w:sz w:val="20"/>
                <w:lang w:val="en-US"/>
              </w:rPr>
              <w:t xml:space="preserve">IM </w:t>
            </w:r>
            <w:r>
              <w:rPr>
                <w:sz w:val="20"/>
                <w:lang w:val="en-US"/>
              </w:rPr>
              <w:t>thresholds</w:t>
            </w:r>
            <w:r w:rsidRPr="0095405F">
              <w:rPr>
                <w:sz w:val="20"/>
                <w:lang w:val="en-US"/>
              </w:rPr>
              <w:t xml:space="preserve"> for scaling </w:t>
            </w:r>
            <w:r>
              <w:rPr>
                <w:sz w:val="20"/>
                <w:lang w:val="en-US"/>
              </w:rPr>
              <w:t>reduction</w:t>
            </w:r>
          </w:p>
        </w:tc>
      </w:tr>
      <w:tr w:rsidR="00711DF2" w:rsidRPr="0095405F" w:rsidTr="00173CC4">
        <w:trPr>
          <w:trHeight w:val="300"/>
        </w:trPr>
        <w:tc>
          <w:tcPr>
            <w:tcW w:w="880" w:type="dxa"/>
            <w:tcBorders>
              <w:top w:val="single" w:sz="4" w:space="0" w:color="auto"/>
            </w:tcBorders>
            <w:shd w:val="clear" w:color="auto" w:fill="auto"/>
            <w:noWrap/>
            <w:vAlign w:val="bottom"/>
            <w:hideMark/>
          </w:tcPr>
          <w:p w:rsidR="00711DF2" w:rsidRPr="0095405F" w:rsidRDefault="00711DF2" w:rsidP="00173CC4">
            <w:pPr>
              <w:rPr>
                <w:sz w:val="20"/>
                <w:lang w:val="en-US"/>
              </w:rPr>
            </w:pPr>
            <w:r w:rsidRPr="0095405F">
              <w:rPr>
                <w:sz w:val="20"/>
                <w:lang w:val="en-US"/>
              </w:rPr>
              <w:t>1</w:t>
            </w:r>
          </w:p>
        </w:tc>
        <w:tc>
          <w:tcPr>
            <w:tcW w:w="2537" w:type="dxa"/>
            <w:tcBorders>
              <w:top w:val="single" w:sz="4" w:space="0" w:color="auto"/>
            </w:tcBorders>
            <w:shd w:val="clear" w:color="auto" w:fill="auto"/>
            <w:noWrap/>
            <w:vAlign w:val="bottom"/>
            <w:hideMark/>
          </w:tcPr>
          <w:p w:rsidR="00711DF2" w:rsidRPr="0095405F" w:rsidRDefault="005C573F" w:rsidP="00173CC4">
            <w:pPr>
              <w:rPr>
                <w:sz w:val="20"/>
                <w:lang w:val="en-US"/>
              </w:rPr>
            </w:pPr>
            <w:r>
              <w:rPr>
                <w:sz w:val="20"/>
                <w:lang w:val="en-US"/>
              </w:rPr>
              <w:t>1 3</w:t>
            </w:r>
            <w:r w:rsidR="00711DF2" w:rsidRPr="0095405F">
              <w:rPr>
                <w:sz w:val="20"/>
                <w:lang w:val="en-US"/>
              </w:rPr>
              <w:t>00 000 000</w:t>
            </w:r>
          </w:p>
        </w:tc>
        <w:tc>
          <w:tcPr>
            <w:tcW w:w="1276" w:type="dxa"/>
            <w:tcBorders>
              <w:top w:val="single" w:sz="4" w:space="0" w:color="auto"/>
            </w:tcBorders>
            <w:shd w:val="clear" w:color="auto" w:fill="auto"/>
            <w:noWrap/>
            <w:vAlign w:val="bottom"/>
            <w:hideMark/>
          </w:tcPr>
          <w:p w:rsidR="00711DF2" w:rsidRPr="0095405F" w:rsidRDefault="00711DF2" w:rsidP="00173CC4">
            <w:pPr>
              <w:rPr>
                <w:sz w:val="20"/>
                <w:lang w:val="en-US"/>
              </w:rPr>
            </w:pPr>
            <w:r w:rsidRPr="0095405F">
              <w:rPr>
                <w:sz w:val="20"/>
                <w:lang w:val="en-US"/>
              </w:rPr>
              <w:t>15%</w:t>
            </w:r>
          </w:p>
        </w:tc>
        <w:tc>
          <w:tcPr>
            <w:tcW w:w="2977" w:type="dxa"/>
            <w:tcBorders>
              <w:top w:val="single" w:sz="4" w:space="0" w:color="auto"/>
            </w:tcBorders>
            <w:shd w:val="clear" w:color="auto" w:fill="auto"/>
            <w:noWrap/>
            <w:vAlign w:val="bottom"/>
            <w:hideMark/>
          </w:tcPr>
          <w:p w:rsidR="00711DF2" w:rsidRPr="0095405F" w:rsidRDefault="005C573F" w:rsidP="00173CC4">
            <w:pPr>
              <w:rPr>
                <w:sz w:val="20"/>
                <w:lang w:val="en-US"/>
              </w:rPr>
            </w:pPr>
            <w:r>
              <w:rPr>
                <w:sz w:val="20"/>
                <w:lang w:val="en-US"/>
              </w:rPr>
              <w:t>1 4</w:t>
            </w:r>
            <w:r w:rsidR="00711DF2" w:rsidRPr="0095405F">
              <w:rPr>
                <w:sz w:val="20"/>
                <w:lang w:val="en-US"/>
              </w:rPr>
              <w:t>00 000 000</w:t>
            </w:r>
          </w:p>
        </w:tc>
      </w:tr>
      <w:tr w:rsidR="00711DF2" w:rsidRPr="0095405F" w:rsidTr="00173CC4">
        <w:trPr>
          <w:trHeight w:val="300"/>
        </w:trPr>
        <w:tc>
          <w:tcPr>
            <w:tcW w:w="880" w:type="dxa"/>
            <w:tcBorders>
              <w:bottom w:val="single" w:sz="4" w:space="0" w:color="auto"/>
            </w:tcBorders>
            <w:shd w:val="clear" w:color="auto" w:fill="auto"/>
            <w:noWrap/>
            <w:vAlign w:val="bottom"/>
            <w:hideMark/>
          </w:tcPr>
          <w:p w:rsidR="00711DF2" w:rsidRPr="0095405F" w:rsidRDefault="00711DF2" w:rsidP="00173CC4">
            <w:pPr>
              <w:rPr>
                <w:sz w:val="20"/>
                <w:lang w:val="en-US"/>
              </w:rPr>
            </w:pPr>
            <w:r w:rsidRPr="0095405F">
              <w:rPr>
                <w:sz w:val="20"/>
                <w:lang w:val="en-US"/>
              </w:rPr>
              <w:t>2</w:t>
            </w:r>
          </w:p>
        </w:tc>
        <w:tc>
          <w:tcPr>
            <w:tcW w:w="2537" w:type="dxa"/>
            <w:tcBorders>
              <w:bottom w:val="single" w:sz="4" w:space="0" w:color="auto"/>
            </w:tcBorders>
            <w:shd w:val="clear" w:color="auto" w:fill="auto"/>
            <w:noWrap/>
            <w:vAlign w:val="bottom"/>
            <w:hideMark/>
          </w:tcPr>
          <w:p w:rsidR="00711DF2" w:rsidRPr="0095405F" w:rsidRDefault="00711DF2" w:rsidP="00F25A94">
            <w:pPr>
              <w:rPr>
                <w:sz w:val="20"/>
                <w:lang w:val="en-US"/>
              </w:rPr>
            </w:pPr>
            <w:r>
              <w:rPr>
                <w:sz w:val="20"/>
                <w:lang w:val="en-US"/>
              </w:rPr>
              <w:t xml:space="preserve">2 </w:t>
            </w:r>
            <w:r w:rsidR="00F25A94">
              <w:rPr>
                <w:sz w:val="20"/>
                <w:lang w:val="en-US"/>
              </w:rPr>
              <w:t>4</w:t>
            </w:r>
            <w:r w:rsidRPr="0095405F">
              <w:rPr>
                <w:sz w:val="20"/>
                <w:lang w:val="en-US"/>
              </w:rPr>
              <w:t>00 000 000</w:t>
            </w:r>
          </w:p>
        </w:tc>
        <w:tc>
          <w:tcPr>
            <w:tcW w:w="1276" w:type="dxa"/>
            <w:tcBorders>
              <w:bottom w:val="single" w:sz="4" w:space="0" w:color="auto"/>
            </w:tcBorders>
            <w:shd w:val="clear" w:color="auto" w:fill="auto"/>
            <w:noWrap/>
            <w:vAlign w:val="bottom"/>
            <w:hideMark/>
          </w:tcPr>
          <w:p w:rsidR="00711DF2" w:rsidRPr="0095405F" w:rsidRDefault="00F25A94" w:rsidP="00173CC4">
            <w:pPr>
              <w:rPr>
                <w:sz w:val="20"/>
                <w:lang w:val="en-US"/>
              </w:rPr>
            </w:pPr>
            <w:r>
              <w:rPr>
                <w:sz w:val="20"/>
                <w:lang w:val="en-US"/>
              </w:rPr>
              <w:t>25</w:t>
            </w:r>
            <w:r w:rsidR="00711DF2" w:rsidRPr="0095405F">
              <w:rPr>
                <w:sz w:val="20"/>
                <w:lang w:val="en-US"/>
              </w:rPr>
              <w:t>%</w:t>
            </w:r>
          </w:p>
        </w:tc>
        <w:tc>
          <w:tcPr>
            <w:tcW w:w="2977" w:type="dxa"/>
            <w:tcBorders>
              <w:bottom w:val="single" w:sz="4" w:space="0" w:color="auto"/>
            </w:tcBorders>
            <w:shd w:val="clear" w:color="auto" w:fill="auto"/>
            <w:noWrap/>
            <w:vAlign w:val="bottom"/>
            <w:hideMark/>
          </w:tcPr>
          <w:p w:rsidR="00711DF2" w:rsidRPr="0095405F" w:rsidRDefault="00711DF2" w:rsidP="00F25A94">
            <w:pPr>
              <w:rPr>
                <w:sz w:val="20"/>
                <w:lang w:val="en-US"/>
              </w:rPr>
            </w:pPr>
            <w:r>
              <w:rPr>
                <w:sz w:val="20"/>
                <w:lang w:val="en-US"/>
              </w:rPr>
              <w:t>2</w:t>
            </w:r>
            <w:r w:rsidRPr="0095405F">
              <w:rPr>
                <w:sz w:val="20"/>
                <w:lang w:val="en-US"/>
              </w:rPr>
              <w:t xml:space="preserve"> </w:t>
            </w:r>
            <w:r w:rsidR="00F25A94">
              <w:rPr>
                <w:sz w:val="20"/>
                <w:lang w:val="en-US"/>
              </w:rPr>
              <w:t>5</w:t>
            </w:r>
            <w:r w:rsidRPr="0095405F">
              <w:rPr>
                <w:sz w:val="20"/>
                <w:lang w:val="en-US"/>
              </w:rPr>
              <w:t>00 000 000</w:t>
            </w:r>
          </w:p>
        </w:tc>
      </w:tr>
    </w:tbl>
    <w:p w:rsidR="002E2A84" w:rsidRDefault="002E2A84" w:rsidP="004D32A7">
      <w:pPr>
        <w:tabs>
          <w:tab w:val="left" w:pos="3940"/>
          <w:tab w:val="left" w:pos="5660"/>
          <w:tab w:val="right" w:pos="8380"/>
        </w:tabs>
        <w:rPr>
          <w:sz w:val="20"/>
          <w:lang w:val="en-US"/>
        </w:rPr>
      </w:pPr>
    </w:p>
    <w:p w:rsidR="00CD7172" w:rsidRDefault="00CD7172" w:rsidP="004D32A7">
      <w:pPr>
        <w:tabs>
          <w:tab w:val="left" w:pos="3940"/>
          <w:tab w:val="left" w:pos="5660"/>
          <w:tab w:val="right" w:pos="8380"/>
        </w:tabs>
        <w:rPr>
          <w:sz w:val="20"/>
          <w:lang w:val="en-US"/>
        </w:rPr>
      </w:pPr>
    </w:p>
    <w:p w:rsidR="00CD7172" w:rsidRDefault="00CD7172" w:rsidP="004D32A7">
      <w:pPr>
        <w:tabs>
          <w:tab w:val="left" w:pos="3940"/>
          <w:tab w:val="left" w:pos="5660"/>
          <w:tab w:val="right" w:pos="8380"/>
        </w:tabs>
        <w:rPr>
          <w:color w:val="000000"/>
          <w:sz w:val="20"/>
          <w:szCs w:val="20"/>
          <w:lang w:val="en-US" w:eastAsia="zh-CN"/>
        </w:rPr>
      </w:pPr>
      <w:r w:rsidRPr="00401878">
        <w:rPr>
          <w:color w:val="000000"/>
          <w:sz w:val="20"/>
          <w:szCs w:val="20"/>
          <w:lang w:val="en-US" w:eastAsia="zh-CN"/>
        </w:rPr>
        <w:t>In addition to the above margin concentration limits Nasdaq Clearing also applies a margin concentration limit on Client Accounts used for clearing of Generic Rates Instruments in respect of Clients that also act, in a different capacity, as a Clearing Member on other accounts with the CCP. The limit is enforced per margin calculation account and market group. If total Initial Margin (IM) for a margin calculation account exceeds the applicable IM threshold, IM shall be scaled up with a scaling factor in accordance with the table below. IM that is subject to scaling shall be scaled down, upon request by the Clearing Member, if it falls below the threshold for scaling down in accordance with the table below.</w:t>
      </w:r>
    </w:p>
    <w:p w:rsidR="00CD7172" w:rsidRDefault="00CD7172" w:rsidP="004D32A7">
      <w:pPr>
        <w:tabs>
          <w:tab w:val="left" w:pos="3940"/>
          <w:tab w:val="left" w:pos="5660"/>
          <w:tab w:val="right" w:pos="8380"/>
        </w:tabs>
        <w:rPr>
          <w:sz w:val="20"/>
          <w:lang w:val="en-US"/>
        </w:rPr>
      </w:pPr>
    </w:p>
    <w:tbl>
      <w:tblPr>
        <w:tblW w:w="0" w:type="auto"/>
        <w:tblCellMar>
          <w:left w:w="0" w:type="dxa"/>
          <w:right w:w="0" w:type="dxa"/>
        </w:tblCellMar>
        <w:tblLook w:val="04A0" w:firstRow="1" w:lastRow="0" w:firstColumn="1" w:lastColumn="0" w:noHBand="0" w:noVBand="1"/>
      </w:tblPr>
      <w:tblGrid>
        <w:gridCol w:w="1862"/>
        <w:gridCol w:w="1862"/>
        <w:gridCol w:w="1862"/>
        <w:gridCol w:w="1862"/>
      </w:tblGrid>
      <w:tr w:rsidR="00CD7172" w:rsidRPr="005F57F2" w:rsidTr="0050612C">
        <w:trPr>
          <w:trHeight w:val="90"/>
        </w:trPr>
        <w:tc>
          <w:tcPr>
            <w:tcW w:w="1862" w:type="dxa"/>
            <w:tcMar>
              <w:top w:w="0" w:type="dxa"/>
              <w:left w:w="108" w:type="dxa"/>
              <w:bottom w:w="0" w:type="dxa"/>
              <w:right w:w="108" w:type="dxa"/>
            </w:tcMar>
            <w:hideMark/>
          </w:tcPr>
          <w:p w:rsidR="00CD7172" w:rsidRDefault="00CD7172" w:rsidP="0050612C">
            <w:pPr>
              <w:pStyle w:val="Default"/>
              <w:rPr>
                <w:sz w:val="20"/>
                <w:szCs w:val="20"/>
              </w:rPr>
            </w:pPr>
            <w:r>
              <w:rPr>
                <w:sz w:val="20"/>
                <w:szCs w:val="20"/>
              </w:rPr>
              <w:t xml:space="preserve">Limit nr </w:t>
            </w:r>
          </w:p>
        </w:tc>
        <w:tc>
          <w:tcPr>
            <w:tcW w:w="1862" w:type="dxa"/>
            <w:tcMar>
              <w:top w:w="0" w:type="dxa"/>
              <w:left w:w="108" w:type="dxa"/>
              <w:bottom w:w="0" w:type="dxa"/>
              <w:right w:w="108" w:type="dxa"/>
            </w:tcMar>
            <w:hideMark/>
          </w:tcPr>
          <w:p w:rsidR="00CD7172" w:rsidRDefault="00CD7172" w:rsidP="0050612C">
            <w:pPr>
              <w:pStyle w:val="Default"/>
              <w:rPr>
                <w:sz w:val="20"/>
                <w:szCs w:val="20"/>
                <w:lang w:val="en-US"/>
              </w:rPr>
            </w:pPr>
            <w:r>
              <w:rPr>
                <w:sz w:val="20"/>
                <w:szCs w:val="20"/>
                <w:lang w:val="en-US"/>
              </w:rPr>
              <w:t xml:space="preserve">IM thresholds for scaling up </w:t>
            </w:r>
          </w:p>
        </w:tc>
        <w:tc>
          <w:tcPr>
            <w:tcW w:w="1862" w:type="dxa"/>
            <w:tcMar>
              <w:top w:w="0" w:type="dxa"/>
              <w:left w:w="108" w:type="dxa"/>
              <w:bottom w:w="0" w:type="dxa"/>
              <w:right w:w="108" w:type="dxa"/>
            </w:tcMar>
            <w:hideMark/>
          </w:tcPr>
          <w:p w:rsidR="00CD7172" w:rsidRDefault="00CD7172" w:rsidP="0050612C">
            <w:pPr>
              <w:pStyle w:val="Default"/>
              <w:rPr>
                <w:sz w:val="20"/>
                <w:szCs w:val="20"/>
              </w:rPr>
            </w:pPr>
            <w:r>
              <w:rPr>
                <w:sz w:val="20"/>
                <w:szCs w:val="20"/>
              </w:rPr>
              <w:t xml:space="preserve">Scaling factor </w:t>
            </w:r>
          </w:p>
        </w:tc>
        <w:tc>
          <w:tcPr>
            <w:tcW w:w="1862" w:type="dxa"/>
            <w:tcMar>
              <w:top w:w="0" w:type="dxa"/>
              <w:left w:w="108" w:type="dxa"/>
              <w:bottom w:w="0" w:type="dxa"/>
              <w:right w:w="108" w:type="dxa"/>
            </w:tcMar>
            <w:hideMark/>
          </w:tcPr>
          <w:p w:rsidR="00CD7172" w:rsidRDefault="00CD7172" w:rsidP="0050612C">
            <w:pPr>
              <w:pStyle w:val="Default"/>
              <w:rPr>
                <w:sz w:val="20"/>
                <w:szCs w:val="20"/>
                <w:lang w:val="en-US"/>
              </w:rPr>
            </w:pPr>
            <w:r>
              <w:rPr>
                <w:sz w:val="20"/>
                <w:szCs w:val="20"/>
                <w:lang w:val="en-US"/>
              </w:rPr>
              <w:t xml:space="preserve">IM thresholds for scaling reduction </w:t>
            </w:r>
          </w:p>
        </w:tc>
      </w:tr>
      <w:tr w:rsidR="00CD7172" w:rsidTr="0050612C">
        <w:trPr>
          <w:trHeight w:val="90"/>
        </w:trPr>
        <w:tc>
          <w:tcPr>
            <w:tcW w:w="1862" w:type="dxa"/>
            <w:tcMar>
              <w:top w:w="0" w:type="dxa"/>
              <w:left w:w="108" w:type="dxa"/>
              <w:bottom w:w="0" w:type="dxa"/>
              <w:right w:w="108" w:type="dxa"/>
            </w:tcMar>
            <w:hideMark/>
          </w:tcPr>
          <w:p w:rsidR="00CD7172" w:rsidRDefault="00CD7172" w:rsidP="0050612C">
            <w:pPr>
              <w:pStyle w:val="Default"/>
              <w:rPr>
                <w:sz w:val="20"/>
                <w:szCs w:val="20"/>
              </w:rPr>
            </w:pPr>
            <w:r>
              <w:rPr>
                <w:sz w:val="20"/>
                <w:szCs w:val="20"/>
              </w:rPr>
              <w:t xml:space="preserve">1 </w:t>
            </w:r>
          </w:p>
        </w:tc>
        <w:tc>
          <w:tcPr>
            <w:tcW w:w="1862" w:type="dxa"/>
            <w:tcMar>
              <w:top w:w="0" w:type="dxa"/>
              <w:left w:w="108" w:type="dxa"/>
              <w:bottom w:w="0" w:type="dxa"/>
              <w:right w:w="108" w:type="dxa"/>
            </w:tcMar>
            <w:hideMark/>
          </w:tcPr>
          <w:p w:rsidR="00CD7172" w:rsidRDefault="00CD7172" w:rsidP="0050612C">
            <w:pPr>
              <w:pStyle w:val="Default"/>
              <w:rPr>
                <w:sz w:val="20"/>
                <w:szCs w:val="20"/>
              </w:rPr>
            </w:pPr>
            <w:r>
              <w:rPr>
                <w:sz w:val="20"/>
                <w:szCs w:val="20"/>
              </w:rPr>
              <w:t xml:space="preserve">500 000 000 </w:t>
            </w:r>
          </w:p>
        </w:tc>
        <w:tc>
          <w:tcPr>
            <w:tcW w:w="1862" w:type="dxa"/>
            <w:tcMar>
              <w:top w:w="0" w:type="dxa"/>
              <w:left w:w="108" w:type="dxa"/>
              <w:bottom w:w="0" w:type="dxa"/>
              <w:right w:w="108" w:type="dxa"/>
            </w:tcMar>
            <w:hideMark/>
          </w:tcPr>
          <w:p w:rsidR="00CD7172" w:rsidRDefault="00CD7172" w:rsidP="0050612C">
            <w:pPr>
              <w:pStyle w:val="Default"/>
              <w:rPr>
                <w:sz w:val="20"/>
                <w:szCs w:val="20"/>
              </w:rPr>
            </w:pPr>
            <w:r>
              <w:rPr>
                <w:sz w:val="20"/>
                <w:szCs w:val="20"/>
              </w:rPr>
              <w:t xml:space="preserve">30% </w:t>
            </w:r>
          </w:p>
        </w:tc>
        <w:tc>
          <w:tcPr>
            <w:tcW w:w="1862" w:type="dxa"/>
            <w:tcMar>
              <w:top w:w="0" w:type="dxa"/>
              <w:left w:w="108" w:type="dxa"/>
              <w:bottom w:w="0" w:type="dxa"/>
              <w:right w:w="108" w:type="dxa"/>
            </w:tcMar>
            <w:hideMark/>
          </w:tcPr>
          <w:p w:rsidR="00CD7172" w:rsidRDefault="00CD7172" w:rsidP="0050612C">
            <w:pPr>
              <w:pStyle w:val="Default"/>
              <w:rPr>
                <w:sz w:val="20"/>
                <w:szCs w:val="20"/>
              </w:rPr>
            </w:pPr>
            <w:r>
              <w:rPr>
                <w:sz w:val="20"/>
                <w:szCs w:val="20"/>
              </w:rPr>
              <w:t xml:space="preserve">600 000 000 </w:t>
            </w:r>
          </w:p>
        </w:tc>
      </w:tr>
    </w:tbl>
    <w:p w:rsidR="00CD7172" w:rsidRDefault="00CD7172" w:rsidP="004D32A7">
      <w:pPr>
        <w:tabs>
          <w:tab w:val="left" w:pos="3940"/>
          <w:tab w:val="left" w:pos="5660"/>
          <w:tab w:val="right" w:pos="8380"/>
        </w:tabs>
        <w:rPr>
          <w:sz w:val="20"/>
          <w:lang w:val="en-US"/>
        </w:rPr>
      </w:pPr>
    </w:p>
    <w:sectPr w:rsidR="00CD7172" w:rsidSect="00F22244">
      <w:headerReference w:type="default" r:id="rId10"/>
      <w:footerReference w:type="default" r:id="rId11"/>
      <w:endnotePr>
        <w:numFmt w:val="decimal"/>
      </w:endnotePr>
      <w:pgSz w:w="11900" w:h="16840"/>
      <w:pgMar w:top="624" w:right="1701" w:bottom="624" w:left="2268"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57" w:rsidRDefault="00077A57">
      <w:r>
        <w:separator/>
      </w:r>
    </w:p>
  </w:endnote>
  <w:endnote w:type="continuationSeparator" w:id="0">
    <w:p w:rsidR="00077A57" w:rsidRDefault="0007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bon">
    <w:altName w:val="Bell MT"/>
    <w:charset w:val="00"/>
    <w:family w:val="roman"/>
    <w:pitch w:val="variable"/>
    <w:sig w:usb0="00000003" w:usb1="00000000" w:usb2="00000000" w:usb3="00000000" w:csb0="00000001" w:csb1="00000000"/>
  </w:font>
  <w:font w:name="Bembo for Borsen Bold">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ranjon">
    <w:altName w:val="Kartik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41" w:rsidRPr="006B3FE2" w:rsidRDefault="00662B75">
    <w:pPr>
      <w:pStyle w:val="Footer"/>
      <w:jc w:val="right"/>
      <w:rPr>
        <w:caps/>
        <w:spacing w:val="20"/>
        <w:sz w:val="12"/>
        <w:szCs w:val="12"/>
        <w:lang w:val="en-US"/>
      </w:rPr>
    </w:pPr>
    <w:r>
      <w:rPr>
        <w:caps/>
        <w:spacing w:val="20"/>
        <w:sz w:val="12"/>
        <w:szCs w:val="12"/>
        <w:lang w:val="en-US"/>
      </w:rPr>
      <w:t>august</w:t>
    </w:r>
    <w:r w:rsidRPr="006B3FE2">
      <w:rPr>
        <w:caps/>
        <w:spacing w:val="20"/>
        <w:sz w:val="12"/>
        <w:szCs w:val="12"/>
        <w:lang w:val="en-US"/>
      </w:rPr>
      <w:t xml:space="preserve"> </w:t>
    </w:r>
    <w:r>
      <w:rPr>
        <w:caps/>
        <w:spacing w:val="20"/>
        <w:sz w:val="12"/>
        <w:szCs w:val="12"/>
        <w:lang w:val="en-US"/>
      </w:rPr>
      <w:t>22</w:t>
    </w:r>
    <w:r w:rsidR="00DB2B41" w:rsidRPr="006B3FE2">
      <w:rPr>
        <w:caps/>
        <w:spacing w:val="20"/>
        <w:sz w:val="12"/>
        <w:szCs w:val="12"/>
        <w:lang w:val="en-US"/>
      </w:rPr>
      <w:t xml:space="preserve"> 201</w:t>
    </w:r>
    <w:r w:rsidR="00C8653B">
      <w:rPr>
        <w:caps/>
        <w:spacing w:val="20"/>
        <w:sz w:val="12"/>
        <w:szCs w:val="12"/>
        <w:lang w:val="en-US"/>
      </w:rPr>
      <w:t>6</w:t>
    </w:r>
    <w:r w:rsidR="00DB2B41" w:rsidRPr="006B3FE2">
      <w:rPr>
        <w:caps/>
        <w:spacing w:val="20"/>
        <w:sz w:val="12"/>
        <w:szCs w:val="12"/>
        <w:lang w:val="en-US"/>
      </w:rPr>
      <w:t xml:space="preserve"> • APPENDIX 13 • parameter VALUE LIST • PAGE </w:t>
    </w:r>
    <w:r w:rsidR="00DB2B41" w:rsidRPr="006B3FE2">
      <w:rPr>
        <w:caps/>
        <w:spacing w:val="20"/>
        <w:sz w:val="12"/>
        <w:szCs w:val="12"/>
        <w:lang w:val="en-US"/>
      </w:rPr>
      <w:fldChar w:fldCharType="begin"/>
    </w:r>
    <w:r w:rsidR="00DB2B41" w:rsidRPr="006B3FE2">
      <w:rPr>
        <w:caps/>
        <w:spacing w:val="20"/>
        <w:sz w:val="12"/>
        <w:szCs w:val="12"/>
        <w:lang w:val="en-US"/>
      </w:rPr>
      <w:instrText xml:space="preserve">page </w:instrText>
    </w:r>
    <w:r w:rsidR="00DB2B41" w:rsidRPr="006B3FE2">
      <w:rPr>
        <w:caps/>
        <w:spacing w:val="20"/>
        <w:sz w:val="12"/>
        <w:szCs w:val="12"/>
        <w:lang w:val="en-US"/>
      </w:rPr>
      <w:fldChar w:fldCharType="separate"/>
    </w:r>
    <w:r w:rsidR="005F57F2">
      <w:rPr>
        <w:caps/>
        <w:noProof/>
        <w:spacing w:val="20"/>
        <w:sz w:val="12"/>
        <w:szCs w:val="12"/>
        <w:lang w:val="en-US"/>
      </w:rPr>
      <w:t>1</w:t>
    </w:r>
    <w:r w:rsidR="00DB2B41" w:rsidRPr="006B3FE2">
      <w:rPr>
        <w:caps/>
        <w:spacing w:val="20"/>
        <w:sz w:val="12"/>
        <w:szCs w:val="12"/>
        <w:lang w:val="en-US"/>
      </w:rPr>
      <w:fldChar w:fldCharType="end"/>
    </w:r>
    <w:r w:rsidR="00DB2B41" w:rsidRPr="006B3FE2">
      <w:rPr>
        <w:caps/>
        <w:spacing w:val="20"/>
        <w:sz w:val="12"/>
        <w:szCs w:val="12"/>
        <w:lang w:val="en-US"/>
      </w:rPr>
      <w:t>(</w:t>
    </w:r>
    <w:r w:rsidR="00DB2B41" w:rsidRPr="006B3FE2">
      <w:rPr>
        <w:caps/>
        <w:spacing w:val="20"/>
        <w:sz w:val="12"/>
        <w:szCs w:val="12"/>
        <w:lang w:val="en-US"/>
      </w:rPr>
      <w:fldChar w:fldCharType="begin"/>
    </w:r>
    <w:r w:rsidR="00DB2B41" w:rsidRPr="00C80920">
      <w:rPr>
        <w:caps/>
        <w:spacing w:val="20"/>
        <w:sz w:val="12"/>
        <w:szCs w:val="12"/>
        <w:lang w:val="en-US"/>
      </w:rPr>
      <w:instrText xml:space="preserve"> NUMPAGES </w:instrText>
    </w:r>
    <w:r w:rsidR="00DB2B41" w:rsidRPr="006B3FE2">
      <w:rPr>
        <w:caps/>
        <w:spacing w:val="20"/>
        <w:sz w:val="12"/>
        <w:szCs w:val="12"/>
        <w:lang w:val="en-US"/>
      </w:rPr>
      <w:fldChar w:fldCharType="separate"/>
    </w:r>
    <w:r w:rsidR="005F57F2">
      <w:rPr>
        <w:caps/>
        <w:noProof/>
        <w:spacing w:val="20"/>
        <w:sz w:val="12"/>
        <w:szCs w:val="12"/>
        <w:lang w:val="en-US"/>
      </w:rPr>
      <w:t>3</w:t>
    </w:r>
    <w:r w:rsidR="00DB2B41" w:rsidRPr="006B3FE2">
      <w:rPr>
        <w:caps/>
        <w:spacing w:val="20"/>
        <w:sz w:val="12"/>
        <w:szCs w:val="12"/>
        <w:lang w:val="en-US"/>
      </w:rPr>
      <w:fldChar w:fldCharType="end"/>
    </w:r>
    <w:r w:rsidR="00DB2B41" w:rsidRPr="006B3FE2">
      <w:rPr>
        <w:caps/>
        <w:spacing w:val="20"/>
        <w:sz w:val="12"/>
        <w:szCs w:val="12"/>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57" w:rsidRDefault="00077A57"/>
  </w:footnote>
  <w:footnote w:type="continuationSeparator" w:id="0">
    <w:p w:rsidR="00077A57" w:rsidRDefault="00077A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41" w:rsidRDefault="00DB2B41">
    <w:pPr>
      <w:tabs>
        <w:tab w:val="center" w:pos="3900"/>
        <w:tab w:val="right" w:pos="7420"/>
      </w:tabs>
      <w:ind w:right="11"/>
      <w:rPr>
        <w:rFonts w:ascii="Verdana" w:hAnsi="Verdana"/>
        <w:bCs/>
        <w:smallCaps/>
        <w:spacing w:val="20"/>
        <w:sz w:val="18"/>
      </w:rPr>
    </w:pPr>
    <w:r>
      <w:rPr>
        <w:rFonts w:ascii="Granjon" w:hAnsi="Granjon"/>
        <w:b/>
        <w:smallCaps/>
        <w:spacing w:val="20"/>
        <w:sz w:val="10"/>
      </w:rPr>
      <w:tab/>
    </w:r>
    <w:r>
      <w:rPr>
        <w:rFonts w:ascii="Verdana" w:hAnsi="Verdana"/>
        <w:bCs/>
        <w:smallCaps/>
        <w:spacing w:val="20"/>
        <w:sz w:val="18"/>
      </w:rPr>
      <w:tab/>
    </w:r>
  </w:p>
  <w:p w:rsidR="00DB2B41" w:rsidRPr="0019455A" w:rsidRDefault="006E43CE">
    <w:pPr>
      <w:tabs>
        <w:tab w:val="center" w:pos="4520"/>
        <w:tab w:val="right" w:leader="underscore" w:pos="7420"/>
      </w:tabs>
      <w:ind w:left="-580" w:right="-582"/>
      <w:jc w:val="center"/>
      <w:rPr>
        <w:rFonts w:ascii="Verdana" w:hAnsi="Verdana"/>
        <w:b/>
        <w:smallCaps/>
        <w:spacing w:val="30"/>
        <w:position w:val="-8"/>
        <w:sz w:val="20"/>
        <w:lang w:val="en-US"/>
      </w:rPr>
    </w:pPr>
    <w:r>
      <w:rPr>
        <w:rFonts w:ascii="Verdana" w:hAnsi="Verdana"/>
        <w:b/>
        <w:smallCaps/>
        <w:spacing w:val="30"/>
        <w:position w:val="-8"/>
        <w:sz w:val="20"/>
        <w:lang w:val="en-US"/>
      </w:rPr>
      <w:t xml:space="preserve">Clearing </w:t>
    </w:r>
    <w:r w:rsidR="005F01C4">
      <w:rPr>
        <w:rFonts w:ascii="Verdana" w:hAnsi="Verdana"/>
        <w:b/>
        <w:smallCaps/>
        <w:spacing w:val="30"/>
        <w:position w:val="-8"/>
        <w:sz w:val="20"/>
        <w:lang w:val="en-US"/>
      </w:rPr>
      <w:t>R</w:t>
    </w:r>
    <w:r w:rsidR="00DB2B41" w:rsidRPr="0019455A">
      <w:rPr>
        <w:rFonts w:ascii="Verdana" w:hAnsi="Verdana"/>
        <w:b/>
        <w:smallCaps/>
        <w:spacing w:val="30"/>
        <w:position w:val="-8"/>
        <w:sz w:val="20"/>
        <w:lang w:val="en-US"/>
      </w:rPr>
      <w:t xml:space="preserve">ules </w:t>
    </w:r>
  </w:p>
  <w:p w:rsidR="00DB2B41" w:rsidRPr="0019455A" w:rsidRDefault="00DB2B41">
    <w:pPr>
      <w:tabs>
        <w:tab w:val="center" w:pos="3960"/>
        <w:tab w:val="right" w:leader="underscore" w:pos="7420"/>
      </w:tabs>
      <w:ind w:left="-580" w:right="-560"/>
      <w:jc w:val="center"/>
      <w:rPr>
        <w:rFonts w:ascii="Verdana" w:hAnsi="Verdana"/>
        <w:b/>
        <w:smallCaps/>
        <w:spacing w:val="80"/>
        <w:position w:val="-6"/>
        <w:sz w:val="20"/>
        <w:lang w:val="en-US"/>
      </w:rPr>
    </w:pPr>
    <w:r w:rsidRPr="0019455A">
      <w:rPr>
        <w:rFonts w:ascii="Verdana" w:hAnsi="Verdana"/>
        <w:b/>
        <w:smallCaps/>
        <w:spacing w:val="30"/>
        <w:position w:val="-8"/>
        <w:sz w:val="20"/>
        <w:lang w:val="en-US"/>
      </w:rPr>
      <w:t xml:space="preserve">of </w:t>
    </w:r>
    <w:r w:rsidR="005C573F" w:rsidRPr="0019455A">
      <w:rPr>
        <w:rFonts w:ascii="Verdana" w:hAnsi="Verdana"/>
        <w:b/>
        <w:smallCaps/>
        <w:spacing w:val="30"/>
        <w:position w:val="-8"/>
        <w:sz w:val="20"/>
        <w:lang w:val="en-US"/>
      </w:rPr>
      <w:t>Nasdaq</w:t>
    </w:r>
    <w:r w:rsidRPr="0019455A">
      <w:rPr>
        <w:rFonts w:ascii="Verdana" w:hAnsi="Verdana"/>
        <w:b/>
        <w:smallCaps/>
        <w:spacing w:val="30"/>
        <w:position w:val="-8"/>
        <w:sz w:val="20"/>
        <w:lang w:val="en-US"/>
      </w:rPr>
      <w:t xml:space="preserve"> </w:t>
    </w:r>
    <w:r w:rsidR="005F01C4">
      <w:rPr>
        <w:rFonts w:ascii="Verdana" w:hAnsi="Verdana"/>
        <w:b/>
        <w:smallCaps/>
        <w:spacing w:val="30"/>
        <w:position w:val="-8"/>
        <w:sz w:val="20"/>
        <w:lang w:val="en-US"/>
      </w:rPr>
      <w:t>Derivatives M</w:t>
    </w:r>
    <w:r w:rsidRPr="0019455A">
      <w:rPr>
        <w:rFonts w:ascii="Verdana" w:hAnsi="Verdana"/>
        <w:b/>
        <w:smallCaps/>
        <w:spacing w:val="30"/>
        <w:position w:val="-8"/>
        <w:sz w:val="20"/>
        <w:lang w:val="en-US"/>
      </w:rPr>
      <w:t>arkets</w:t>
    </w:r>
  </w:p>
  <w:p w:rsidR="00DB2B41" w:rsidRPr="0019455A" w:rsidRDefault="00DB2B41">
    <w:pPr>
      <w:pBdr>
        <w:bottom w:val="single" w:sz="6" w:space="0" w:color="auto"/>
      </w:pBdr>
      <w:ind w:left="3820" w:right="3860"/>
      <w:rPr>
        <w:rFonts w:ascii="Granjon" w:hAnsi="Granjon"/>
        <w:sz w:val="8"/>
        <w:lang w:val="en-US"/>
      </w:rPr>
    </w:pPr>
  </w:p>
  <w:p w:rsidR="00DB2B41" w:rsidRPr="0019455A" w:rsidRDefault="00DB2B41">
    <w:pPr>
      <w:tabs>
        <w:tab w:val="center" w:pos="3960"/>
      </w:tabs>
      <w:spacing w:line="360" w:lineRule="atLeast"/>
      <w:jc w:val="right"/>
      <w:rPr>
        <w:rFonts w:ascii="Granjon" w:hAnsi="Granjon"/>
        <w:lang w:val="en-US"/>
      </w:rPr>
    </w:pPr>
  </w:p>
  <w:p w:rsidR="00DB2B41" w:rsidRPr="0019455A" w:rsidRDefault="00DB2B41">
    <w:pPr>
      <w:pStyle w:val="Header"/>
      <w:rPr>
        <w:rFonts w:ascii="Granjon" w:hAnsi="Granjon"/>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B5"/>
    <w:rsid w:val="00005370"/>
    <w:rsid w:val="00006115"/>
    <w:rsid w:val="00006255"/>
    <w:rsid w:val="000073E5"/>
    <w:rsid w:val="00010C73"/>
    <w:rsid w:val="00011953"/>
    <w:rsid w:val="00012BD6"/>
    <w:rsid w:val="00012EDF"/>
    <w:rsid w:val="00014220"/>
    <w:rsid w:val="000147DE"/>
    <w:rsid w:val="00017E84"/>
    <w:rsid w:val="00020771"/>
    <w:rsid w:val="00025114"/>
    <w:rsid w:val="00026339"/>
    <w:rsid w:val="00030554"/>
    <w:rsid w:val="00036CA1"/>
    <w:rsid w:val="00037CAD"/>
    <w:rsid w:val="00041318"/>
    <w:rsid w:val="000425CF"/>
    <w:rsid w:val="00043B56"/>
    <w:rsid w:val="000470EE"/>
    <w:rsid w:val="0004713B"/>
    <w:rsid w:val="000475AB"/>
    <w:rsid w:val="0005018B"/>
    <w:rsid w:val="0005191B"/>
    <w:rsid w:val="0005523A"/>
    <w:rsid w:val="000575D2"/>
    <w:rsid w:val="00061C83"/>
    <w:rsid w:val="00063175"/>
    <w:rsid w:val="000638EA"/>
    <w:rsid w:val="00063C01"/>
    <w:rsid w:val="00064D29"/>
    <w:rsid w:val="0006538D"/>
    <w:rsid w:val="000660B9"/>
    <w:rsid w:val="000705E5"/>
    <w:rsid w:val="000714AE"/>
    <w:rsid w:val="00072851"/>
    <w:rsid w:val="000743F0"/>
    <w:rsid w:val="00076D83"/>
    <w:rsid w:val="00077A57"/>
    <w:rsid w:val="000862EF"/>
    <w:rsid w:val="00091C5D"/>
    <w:rsid w:val="00091CDA"/>
    <w:rsid w:val="00094C4B"/>
    <w:rsid w:val="00095174"/>
    <w:rsid w:val="00096903"/>
    <w:rsid w:val="00097E50"/>
    <w:rsid w:val="000A3F17"/>
    <w:rsid w:val="000A51B8"/>
    <w:rsid w:val="000B02A2"/>
    <w:rsid w:val="000B0448"/>
    <w:rsid w:val="000B1C24"/>
    <w:rsid w:val="000B2730"/>
    <w:rsid w:val="000B29EC"/>
    <w:rsid w:val="000C2035"/>
    <w:rsid w:val="000C2E25"/>
    <w:rsid w:val="000D35AD"/>
    <w:rsid w:val="000D500A"/>
    <w:rsid w:val="000E4101"/>
    <w:rsid w:val="000E5A45"/>
    <w:rsid w:val="000E5E76"/>
    <w:rsid w:val="000E75DA"/>
    <w:rsid w:val="000F240C"/>
    <w:rsid w:val="000F2759"/>
    <w:rsid w:val="001005C9"/>
    <w:rsid w:val="00103614"/>
    <w:rsid w:val="001040EA"/>
    <w:rsid w:val="00104469"/>
    <w:rsid w:val="001114BD"/>
    <w:rsid w:val="001164C1"/>
    <w:rsid w:val="001202E9"/>
    <w:rsid w:val="0012185E"/>
    <w:rsid w:val="00123108"/>
    <w:rsid w:val="00123252"/>
    <w:rsid w:val="00127DF5"/>
    <w:rsid w:val="00131B7C"/>
    <w:rsid w:val="00140118"/>
    <w:rsid w:val="001403B5"/>
    <w:rsid w:val="00141931"/>
    <w:rsid w:val="0014561C"/>
    <w:rsid w:val="00145D6F"/>
    <w:rsid w:val="0016354F"/>
    <w:rsid w:val="0016431B"/>
    <w:rsid w:val="00171CE8"/>
    <w:rsid w:val="00173423"/>
    <w:rsid w:val="001818C7"/>
    <w:rsid w:val="00183E99"/>
    <w:rsid w:val="00185E54"/>
    <w:rsid w:val="00186D53"/>
    <w:rsid w:val="00191FA5"/>
    <w:rsid w:val="00193217"/>
    <w:rsid w:val="0019455A"/>
    <w:rsid w:val="001978A8"/>
    <w:rsid w:val="001A0DB4"/>
    <w:rsid w:val="001A73A9"/>
    <w:rsid w:val="001B1520"/>
    <w:rsid w:val="001B1AFE"/>
    <w:rsid w:val="001B1E28"/>
    <w:rsid w:val="001B2369"/>
    <w:rsid w:val="001B4EE7"/>
    <w:rsid w:val="001B580A"/>
    <w:rsid w:val="001C5869"/>
    <w:rsid w:val="001C7823"/>
    <w:rsid w:val="001D0181"/>
    <w:rsid w:val="001D428C"/>
    <w:rsid w:val="001D70E9"/>
    <w:rsid w:val="001E0085"/>
    <w:rsid w:val="001E08DF"/>
    <w:rsid w:val="001E2C98"/>
    <w:rsid w:val="001E36A6"/>
    <w:rsid w:val="001E46DA"/>
    <w:rsid w:val="001E4F0D"/>
    <w:rsid w:val="001E5866"/>
    <w:rsid w:val="001F1CF0"/>
    <w:rsid w:val="001F49DD"/>
    <w:rsid w:val="001F65B8"/>
    <w:rsid w:val="001F7E59"/>
    <w:rsid w:val="0020345C"/>
    <w:rsid w:val="002037F9"/>
    <w:rsid w:val="0021248E"/>
    <w:rsid w:val="00214181"/>
    <w:rsid w:val="00214781"/>
    <w:rsid w:val="002246E5"/>
    <w:rsid w:val="00226B39"/>
    <w:rsid w:val="00232FF1"/>
    <w:rsid w:val="002332A4"/>
    <w:rsid w:val="002449B3"/>
    <w:rsid w:val="00245E0F"/>
    <w:rsid w:val="002472EB"/>
    <w:rsid w:val="002500B1"/>
    <w:rsid w:val="00253A3A"/>
    <w:rsid w:val="00253D17"/>
    <w:rsid w:val="00254209"/>
    <w:rsid w:val="00254FAA"/>
    <w:rsid w:val="00256760"/>
    <w:rsid w:val="002572C1"/>
    <w:rsid w:val="00260AE1"/>
    <w:rsid w:val="00261C34"/>
    <w:rsid w:val="00265828"/>
    <w:rsid w:val="00273444"/>
    <w:rsid w:val="002745E5"/>
    <w:rsid w:val="0027463D"/>
    <w:rsid w:val="00274EEC"/>
    <w:rsid w:val="00277E8A"/>
    <w:rsid w:val="002814AC"/>
    <w:rsid w:val="00282E35"/>
    <w:rsid w:val="00284B16"/>
    <w:rsid w:val="00291E01"/>
    <w:rsid w:val="00292289"/>
    <w:rsid w:val="00292D2E"/>
    <w:rsid w:val="002932DA"/>
    <w:rsid w:val="0029488E"/>
    <w:rsid w:val="002950C2"/>
    <w:rsid w:val="00295277"/>
    <w:rsid w:val="002956BD"/>
    <w:rsid w:val="002967C6"/>
    <w:rsid w:val="00296A85"/>
    <w:rsid w:val="002A01A3"/>
    <w:rsid w:val="002B1789"/>
    <w:rsid w:val="002B2FAD"/>
    <w:rsid w:val="002B39FD"/>
    <w:rsid w:val="002C0E1F"/>
    <w:rsid w:val="002C6258"/>
    <w:rsid w:val="002C6C19"/>
    <w:rsid w:val="002D048A"/>
    <w:rsid w:val="002D095E"/>
    <w:rsid w:val="002D1D50"/>
    <w:rsid w:val="002D2C77"/>
    <w:rsid w:val="002D30B3"/>
    <w:rsid w:val="002D31FF"/>
    <w:rsid w:val="002D322A"/>
    <w:rsid w:val="002D47F2"/>
    <w:rsid w:val="002D6E5B"/>
    <w:rsid w:val="002E036C"/>
    <w:rsid w:val="002E2A84"/>
    <w:rsid w:val="002E2DB0"/>
    <w:rsid w:val="002E53E2"/>
    <w:rsid w:val="002E7589"/>
    <w:rsid w:val="002F38EE"/>
    <w:rsid w:val="002F3AD7"/>
    <w:rsid w:val="00300D3F"/>
    <w:rsid w:val="003025B3"/>
    <w:rsid w:val="003026E8"/>
    <w:rsid w:val="00304933"/>
    <w:rsid w:val="00307201"/>
    <w:rsid w:val="0031119D"/>
    <w:rsid w:val="00317FA3"/>
    <w:rsid w:val="00325433"/>
    <w:rsid w:val="00327DFC"/>
    <w:rsid w:val="00335907"/>
    <w:rsid w:val="00340308"/>
    <w:rsid w:val="0034256A"/>
    <w:rsid w:val="00343923"/>
    <w:rsid w:val="00344084"/>
    <w:rsid w:val="003505A4"/>
    <w:rsid w:val="00350910"/>
    <w:rsid w:val="00350B32"/>
    <w:rsid w:val="00353250"/>
    <w:rsid w:val="00354B6C"/>
    <w:rsid w:val="00356E65"/>
    <w:rsid w:val="00367399"/>
    <w:rsid w:val="00370F25"/>
    <w:rsid w:val="003720D0"/>
    <w:rsid w:val="00372EAC"/>
    <w:rsid w:val="00374786"/>
    <w:rsid w:val="00376803"/>
    <w:rsid w:val="00377AD9"/>
    <w:rsid w:val="00377FBB"/>
    <w:rsid w:val="003837E4"/>
    <w:rsid w:val="00384396"/>
    <w:rsid w:val="00384FC1"/>
    <w:rsid w:val="003924A5"/>
    <w:rsid w:val="0039502B"/>
    <w:rsid w:val="00395211"/>
    <w:rsid w:val="003A0CF6"/>
    <w:rsid w:val="003A2D28"/>
    <w:rsid w:val="003A6D66"/>
    <w:rsid w:val="003A7666"/>
    <w:rsid w:val="003B0F62"/>
    <w:rsid w:val="003B138F"/>
    <w:rsid w:val="003B29C9"/>
    <w:rsid w:val="003B4920"/>
    <w:rsid w:val="003B66EC"/>
    <w:rsid w:val="003B78CE"/>
    <w:rsid w:val="003C1C87"/>
    <w:rsid w:val="003C2245"/>
    <w:rsid w:val="003C5ABD"/>
    <w:rsid w:val="003C5C35"/>
    <w:rsid w:val="003C6A24"/>
    <w:rsid w:val="003D457E"/>
    <w:rsid w:val="003D782B"/>
    <w:rsid w:val="003E3568"/>
    <w:rsid w:val="003E3917"/>
    <w:rsid w:val="003E4C52"/>
    <w:rsid w:val="003E696C"/>
    <w:rsid w:val="003F0B9B"/>
    <w:rsid w:val="003F0D46"/>
    <w:rsid w:val="003F53A4"/>
    <w:rsid w:val="003F5D90"/>
    <w:rsid w:val="003F75CB"/>
    <w:rsid w:val="0040261D"/>
    <w:rsid w:val="004068CA"/>
    <w:rsid w:val="00407564"/>
    <w:rsid w:val="00410F84"/>
    <w:rsid w:val="00411FF3"/>
    <w:rsid w:val="00412E80"/>
    <w:rsid w:val="00413877"/>
    <w:rsid w:val="00415282"/>
    <w:rsid w:val="004164FD"/>
    <w:rsid w:val="00416E5A"/>
    <w:rsid w:val="004236DE"/>
    <w:rsid w:val="00425BA5"/>
    <w:rsid w:val="0043077B"/>
    <w:rsid w:val="0043272F"/>
    <w:rsid w:val="00435EFC"/>
    <w:rsid w:val="004363DC"/>
    <w:rsid w:val="0044011C"/>
    <w:rsid w:val="0044039C"/>
    <w:rsid w:val="00440A52"/>
    <w:rsid w:val="00450580"/>
    <w:rsid w:val="00450D55"/>
    <w:rsid w:val="00451D70"/>
    <w:rsid w:val="004523A8"/>
    <w:rsid w:val="00452E7E"/>
    <w:rsid w:val="00456601"/>
    <w:rsid w:val="00464463"/>
    <w:rsid w:val="00464830"/>
    <w:rsid w:val="00465299"/>
    <w:rsid w:val="0046781B"/>
    <w:rsid w:val="004719F4"/>
    <w:rsid w:val="00472D7C"/>
    <w:rsid w:val="004751B0"/>
    <w:rsid w:val="00484927"/>
    <w:rsid w:val="004928E9"/>
    <w:rsid w:val="00493A5B"/>
    <w:rsid w:val="00494328"/>
    <w:rsid w:val="00496965"/>
    <w:rsid w:val="00496B94"/>
    <w:rsid w:val="004A18B8"/>
    <w:rsid w:val="004A4ACB"/>
    <w:rsid w:val="004A628E"/>
    <w:rsid w:val="004B5C2B"/>
    <w:rsid w:val="004C0C9C"/>
    <w:rsid w:val="004C38CA"/>
    <w:rsid w:val="004C4655"/>
    <w:rsid w:val="004D1DB9"/>
    <w:rsid w:val="004D32A7"/>
    <w:rsid w:val="004D75EB"/>
    <w:rsid w:val="004E5D2D"/>
    <w:rsid w:val="004E6C01"/>
    <w:rsid w:val="004F06A5"/>
    <w:rsid w:val="004F314C"/>
    <w:rsid w:val="004F483D"/>
    <w:rsid w:val="004F4CC2"/>
    <w:rsid w:val="004F70A3"/>
    <w:rsid w:val="004F7125"/>
    <w:rsid w:val="004F72CA"/>
    <w:rsid w:val="00500504"/>
    <w:rsid w:val="00501AEB"/>
    <w:rsid w:val="005045A4"/>
    <w:rsid w:val="005118E5"/>
    <w:rsid w:val="005128FC"/>
    <w:rsid w:val="00513422"/>
    <w:rsid w:val="00515B96"/>
    <w:rsid w:val="005169D6"/>
    <w:rsid w:val="00516CDC"/>
    <w:rsid w:val="00517EE6"/>
    <w:rsid w:val="00520B17"/>
    <w:rsid w:val="00526235"/>
    <w:rsid w:val="00527124"/>
    <w:rsid w:val="00527CBC"/>
    <w:rsid w:val="005304E2"/>
    <w:rsid w:val="00531214"/>
    <w:rsid w:val="00536ED4"/>
    <w:rsid w:val="00541D3B"/>
    <w:rsid w:val="00544A80"/>
    <w:rsid w:val="00545270"/>
    <w:rsid w:val="00547EAF"/>
    <w:rsid w:val="00563E3C"/>
    <w:rsid w:val="0056743C"/>
    <w:rsid w:val="005677B3"/>
    <w:rsid w:val="0057078E"/>
    <w:rsid w:val="00574D32"/>
    <w:rsid w:val="00574E65"/>
    <w:rsid w:val="00582A7C"/>
    <w:rsid w:val="005837C4"/>
    <w:rsid w:val="0058576C"/>
    <w:rsid w:val="00585FE7"/>
    <w:rsid w:val="00591B47"/>
    <w:rsid w:val="005942BB"/>
    <w:rsid w:val="00596778"/>
    <w:rsid w:val="005A3F23"/>
    <w:rsid w:val="005A6426"/>
    <w:rsid w:val="005A6F1D"/>
    <w:rsid w:val="005A7360"/>
    <w:rsid w:val="005A7B76"/>
    <w:rsid w:val="005C2EE2"/>
    <w:rsid w:val="005C3B2E"/>
    <w:rsid w:val="005C438F"/>
    <w:rsid w:val="005C5374"/>
    <w:rsid w:val="005C573F"/>
    <w:rsid w:val="005D2415"/>
    <w:rsid w:val="005D3C99"/>
    <w:rsid w:val="005E1489"/>
    <w:rsid w:val="005E210A"/>
    <w:rsid w:val="005E2311"/>
    <w:rsid w:val="005E6764"/>
    <w:rsid w:val="005F01C4"/>
    <w:rsid w:val="005F0EE8"/>
    <w:rsid w:val="005F17A9"/>
    <w:rsid w:val="005F2747"/>
    <w:rsid w:val="005F2D5E"/>
    <w:rsid w:val="005F4BB6"/>
    <w:rsid w:val="005F57F2"/>
    <w:rsid w:val="005F5AE8"/>
    <w:rsid w:val="005F79D1"/>
    <w:rsid w:val="00602DD2"/>
    <w:rsid w:val="0060342B"/>
    <w:rsid w:val="00603590"/>
    <w:rsid w:val="0061417C"/>
    <w:rsid w:val="0061583F"/>
    <w:rsid w:val="00617A4F"/>
    <w:rsid w:val="00620AE9"/>
    <w:rsid w:val="00624382"/>
    <w:rsid w:val="006313A8"/>
    <w:rsid w:val="00637023"/>
    <w:rsid w:val="006378B5"/>
    <w:rsid w:val="00640A23"/>
    <w:rsid w:val="00641438"/>
    <w:rsid w:val="006434D4"/>
    <w:rsid w:val="00651E61"/>
    <w:rsid w:val="006603A9"/>
    <w:rsid w:val="00662B75"/>
    <w:rsid w:val="00665548"/>
    <w:rsid w:val="00665FD8"/>
    <w:rsid w:val="00666038"/>
    <w:rsid w:val="0066616E"/>
    <w:rsid w:val="00670CC3"/>
    <w:rsid w:val="00675C82"/>
    <w:rsid w:val="00676811"/>
    <w:rsid w:val="00684E27"/>
    <w:rsid w:val="00691F5F"/>
    <w:rsid w:val="00692030"/>
    <w:rsid w:val="006A1861"/>
    <w:rsid w:val="006A1A33"/>
    <w:rsid w:val="006A1DB5"/>
    <w:rsid w:val="006A2BA7"/>
    <w:rsid w:val="006A35A1"/>
    <w:rsid w:val="006A7485"/>
    <w:rsid w:val="006B3FE2"/>
    <w:rsid w:val="006C2979"/>
    <w:rsid w:val="006C2D93"/>
    <w:rsid w:val="006C2F95"/>
    <w:rsid w:val="006C388D"/>
    <w:rsid w:val="006C5171"/>
    <w:rsid w:val="006C700B"/>
    <w:rsid w:val="006C7495"/>
    <w:rsid w:val="006D2509"/>
    <w:rsid w:val="006D3056"/>
    <w:rsid w:val="006D392C"/>
    <w:rsid w:val="006D3D74"/>
    <w:rsid w:val="006D51B5"/>
    <w:rsid w:val="006E11CF"/>
    <w:rsid w:val="006E202A"/>
    <w:rsid w:val="006E3202"/>
    <w:rsid w:val="006E43CE"/>
    <w:rsid w:val="006F373B"/>
    <w:rsid w:val="006F5139"/>
    <w:rsid w:val="006F764A"/>
    <w:rsid w:val="00705D8B"/>
    <w:rsid w:val="00711DF2"/>
    <w:rsid w:val="00714642"/>
    <w:rsid w:val="00720357"/>
    <w:rsid w:val="0072148C"/>
    <w:rsid w:val="00721F12"/>
    <w:rsid w:val="00722129"/>
    <w:rsid w:val="00724001"/>
    <w:rsid w:val="00724D12"/>
    <w:rsid w:val="007300BF"/>
    <w:rsid w:val="0074011F"/>
    <w:rsid w:val="00743079"/>
    <w:rsid w:val="00750BEB"/>
    <w:rsid w:val="00750D5F"/>
    <w:rsid w:val="00751DD9"/>
    <w:rsid w:val="007531F6"/>
    <w:rsid w:val="00756264"/>
    <w:rsid w:val="0076093A"/>
    <w:rsid w:val="0076152B"/>
    <w:rsid w:val="007619F5"/>
    <w:rsid w:val="00763D2F"/>
    <w:rsid w:val="007718C9"/>
    <w:rsid w:val="0077225B"/>
    <w:rsid w:val="007751BF"/>
    <w:rsid w:val="00775251"/>
    <w:rsid w:val="00776BF4"/>
    <w:rsid w:val="007801B4"/>
    <w:rsid w:val="00781E05"/>
    <w:rsid w:val="00782909"/>
    <w:rsid w:val="00782D11"/>
    <w:rsid w:val="007841F5"/>
    <w:rsid w:val="00784BB6"/>
    <w:rsid w:val="0079423F"/>
    <w:rsid w:val="00794A31"/>
    <w:rsid w:val="0079614A"/>
    <w:rsid w:val="00797A43"/>
    <w:rsid w:val="00797B26"/>
    <w:rsid w:val="007A3208"/>
    <w:rsid w:val="007B2AA8"/>
    <w:rsid w:val="007B33F0"/>
    <w:rsid w:val="007B4F22"/>
    <w:rsid w:val="007B52FC"/>
    <w:rsid w:val="007B6348"/>
    <w:rsid w:val="007B66BD"/>
    <w:rsid w:val="007B756F"/>
    <w:rsid w:val="007C1771"/>
    <w:rsid w:val="007C20CF"/>
    <w:rsid w:val="007C32F5"/>
    <w:rsid w:val="007C37A7"/>
    <w:rsid w:val="007C5E73"/>
    <w:rsid w:val="007D1019"/>
    <w:rsid w:val="007D2A20"/>
    <w:rsid w:val="007D2BD9"/>
    <w:rsid w:val="007D4FFD"/>
    <w:rsid w:val="007D60FE"/>
    <w:rsid w:val="007E0E31"/>
    <w:rsid w:val="007E3788"/>
    <w:rsid w:val="007E455A"/>
    <w:rsid w:val="007E5631"/>
    <w:rsid w:val="007E77AD"/>
    <w:rsid w:val="007F497C"/>
    <w:rsid w:val="007F6333"/>
    <w:rsid w:val="008067DD"/>
    <w:rsid w:val="00810D71"/>
    <w:rsid w:val="00811FA3"/>
    <w:rsid w:val="00812BA0"/>
    <w:rsid w:val="00815737"/>
    <w:rsid w:val="008206EC"/>
    <w:rsid w:val="008218EA"/>
    <w:rsid w:val="0082327B"/>
    <w:rsid w:val="0082527F"/>
    <w:rsid w:val="008275A1"/>
    <w:rsid w:val="008305BB"/>
    <w:rsid w:val="00836DF5"/>
    <w:rsid w:val="00841076"/>
    <w:rsid w:val="008427D9"/>
    <w:rsid w:val="0084319F"/>
    <w:rsid w:val="00843843"/>
    <w:rsid w:val="00844654"/>
    <w:rsid w:val="00844DBD"/>
    <w:rsid w:val="00845379"/>
    <w:rsid w:val="0085187D"/>
    <w:rsid w:val="0085594B"/>
    <w:rsid w:val="0085647B"/>
    <w:rsid w:val="00860583"/>
    <w:rsid w:val="0086457D"/>
    <w:rsid w:val="00864903"/>
    <w:rsid w:val="00870CDE"/>
    <w:rsid w:val="00871CCB"/>
    <w:rsid w:val="008759EB"/>
    <w:rsid w:val="00881E08"/>
    <w:rsid w:val="00882750"/>
    <w:rsid w:val="008906AF"/>
    <w:rsid w:val="00891C0F"/>
    <w:rsid w:val="008935D2"/>
    <w:rsid w:val="00894785"/>
    <w:rsid w:val="00897B9D"/>
    <w:rsid w:val="008A4089"/>
    <w:rsid w:val="008A613A"/>
    <w:rsid w:val="008C4CE2"/>
    <w:rsid w:val="008C54F5"/>
    <w:rsid w:val="008C56FE"/>
    <w:rsid w:val="008D0BD6"/>
    <w:rsid w:val="008D0F8D"/>
    <w:rsid w:val="008D4CFF"/>
    <w:rsid w:val="008D5428"/>
    <w:rsid w:val="008D5E15"/>
    <w:rsid w:val="008D5F40"/>
    <w:rsid w:val="008E0917"/>
    <w:rsid w:val="008E19CF"/>
    <w:rsid w:val="008F44DD"/>
    <w:rsid w:val="00905237"/>
    <w:rsid w:val="00906C37"/>
    <w:rsid w:val="00907B4E"/>
    <w:rsid w:val="00907D05"/>
    <w:rsid w:val="009125F6"/>
    <w:rsid w:val="00915BCA"/>
    <w:rsid w:val="00916B33"/>
    <w:rsid w:val="00921B1A"/>
    <w:rsid w:val="00922A0F"/>
    <w:rsid w:val="00923729"/>
    <w:rsid w:val="009249CB"/>
    <w:rsid w:val="009264FA"/>
    <w:rsid w:val="00931F98"/>
    <w:rsid w:val="00932CBB"/>
    <w:rsid w:val="00940ECC"/>
    <w:rsid w:val="00942F93"/>
    <w:rsid w:val="009436E3"/>
    <w:rsid w:val="00944E86"/>
    <w:rsid w:val="00945829"/>
    <w:rsid w:val="0095405F"/>
    <w:rsid w:val="00954F36"/>
    <w:rsid w:val="00961378"/>
    <w:rsid w:val="009664D2"/>
    <w:rsid w:val="0096788C"/>
    <w:rsid w:val="00971B90"/>
    <w:rsid w:val="00972500"/>
    <w:rsid w:val="00973752"/>
    <w:rsid w:val="009738D1"/>
    <w:rsid w:val="009820B6"/>
    <w:rsid w:val="00982A62"/>
    <w:rsid w:val="00985232"/>
    <w:rsid w:val="00985E2D"/>
    <w:rsid w:val="009879B1"/>
    <w:rsid w:val="00987C6F"/>
    <w:rsid w:val="00990439"/>
    <w:rsid w:val="00990AA8"/>
    <w:rsid w:val="00990F69"/>
    <w:rsid w:val="00991F8A"/>
    <w:rsid w:val="009924D4"/>
    <w:rsid w:val="009A06E4"/>
    <w:rsid w:val="009A26E1"/>
    <w:rsid w:val="009A4328"/>
    <w:rsid w:val="009A4904"/>
    <w:rsid w:val="009B46B2"/>
    <w:rsid w:val="009B6D5C"/>
    <w:rsid w:val="009B70EF"/>
    <w:rsid w:val="009B774A"/>
    <w:rsid w:val="009C3EDB"/>
    <w:rsid w:val="009C79DF"/>
    <w:rsid w:val="009D0631"/>
    <w:rsid w:val="009D76B7"/>
    <w:rsid w:val="009D7B5E"/>
    <w:rsid w:val="009E4BF4"/>
    <w:rsid w:val="009E607A"/>
    <w:rsid w:val="009E69E6"/>
    <w:rsid w:val="009F0035"/>
    <w:rsid w:val="009F1F4D"/>
    <w:rsid w:val="009F5B88"/>
    <w:rsid w:val="009F781F"/>
    <w:rsid w:val="00A07AEC"/>
    <w:rsid w:val="00A109FE"/>
    <w:rsid w:val="00A1481D"/>
    <w:rsid w:val="00A168FB"/>
    <w:rsid w:val="00A228C9"/>
    <w:rsid w:val="00A22986"/>
    <w:rsid w:val="00A3007C"/>
    <w:rsid w:val="00A31EE1"/>
    <w:rsid w:val="00A35889"/>
    <w:rsid w:val="00A423D6"/>
    <w:rsid w:val="00A46585"/>
    <w:rsid w:val="00A46CB9"/>
    <w:rsid w:val="00A50E78"/>
    <w:rsid w:val="00A522CB"/>
    <w:rsid w:val="00A55DB7"/>
    <w:rsid w:val="00A57A9C"/>
    <w:rsid w:val="00A61A7E"/>
    <w:rsid w:val="00A62D9D"/>
    <w:rsid w:val="00A641B7"/>
    <w:rsid w:val="00A663CD"/>
    <w:rsid w:val="00A67EE8"/>
    <w:rsid w:val="00A77FAA"/>
    <w:rsid w:val="00A8216F"/>
    <w:rsid w:val="00A84609"/>
    <w:rsid w:val="00A91BA0"/>
    <w:rsid w:val="00A97638"/>
    <w:rsid w:val="00AA1436"/>
    <w:rsid w:val="00AB50AC"/>
    <w:rsid w:val="00AC11AF"/>
    <w:rsid w:val="00AC53FF"/>
    <w:rsid w:val="00AD0F77"/>
    <w:rsid w:val="00AD6AE5"/>
    <w:rsid w:val="00AE77A0"/>
    <w:rsid w:val="00AE7D28"/>
    <w:rsid w:val="00AF082B"/>
    <w:rsid w:val="00AF1A52"/>
    <w:rsid w:val="00AF3838"/>
    <w:rsid w:val="00AF5756"/>
    <w:rsid w:val="00B021D9"/>
    <w:rsid w:val="00B05496"/>
    <w:rsid w:val="00B07607"/>
    <w:rsid w:val="00B13E80"/>
    <w:rsid w:val="00B17DE5"/>
    <w:rsid w:val="00B17FF9"/>
    <w:rsid w:val="00B24D38"/>
    <w:rsid w:val="00B26FC3"/>
    <w:rsid w:val="00B27AC0"/>
    <w:rsid w:val="00B42BEA"/>
    <w:rsid w:val="00B45334"/>
    <w:rsid w:val="00B50655"/>
    <w:rsid w:val="00B51A25"/>
    <w:rsid w:val="00B61F52"/>
    <w:rsid w:val="00B724BE"/>
    <w:rsid w:val="00B72CEB"/>
    <w:rsid w:val="00B75D07"/>
    <w:rsid w:val="00B76567"/>
    <w:rsid w:val="00B80D32"/>
    <w:rsid w:val="00B81288"/>
    <w:rsid w:val="00B81374"/>
    <w:rsid w:val="00B82394"/>
    <w:rsid w:val="00B82B0B"/>
    <w:rsid w:val="00B91C51"/>
    <w:rsid w:val="00B93187"/>
    <w:rsid w:val="00B965F8"/>
    <w:rsid w:val="00B9727E"/>
    <w:rsid w:val="00BA7BD6"/>
    <w:rsid w:val="00BB0458"/>
    <w:rsid w:val="00BB294B"/>
    <w:rsid w:val="00BB4F47"/>
    <w:rsid w:val="00BC242E"/>
    <w:rsid w:val="00BC2945"/>
    <w:rsid w:val="00BD1EFA"/>
    <w:rsid w:val="00BD51B7"/>
    <w:rsid w:val="00BD5A10"/>
    <w:rsid w:val="00BD6BE0"/>
    <w:rsid w:val="00BE482B"/>
    <w:rsid w:val="00BE6EFC"/>
    <w:rsid w:val="00BF029D"/>
    <w:rsid w:val="00BF276A"/>
    <w:rsid w:val="00BF2B48"/>
    <w:rsid w:val="00BF32CF"/>
    <w:rsid w:val="00BF5A12"/>
    <w:rsid w:val="00BF7C0E"/>
    <w:rsid w:val="00C041A0"/>
    <w:rsid w:val="00C04551"/>
    <w:rsid w:val="00C13835"/>
    <w:rsid w:val="00C1487C"/>
    <w:rsid w:val="00C208B5"/>
    <w:rsid w:val="00C22BA9"/>
    <w:rsid w:val="00C24120"/>
    <w:rsid w:val="00C252ED"/>
    <w:rsid w:val="00C25D81"/>
    <w:rsid w:val="00C27F27"/>
    <w:rsid w:val="00C40AE3"/>
    <w:rsid w:val="00C4287D"/>
    <w:rsid w:val="00C4513E"/>
    <w:rsid w:val="00C46D7E"/>
    <w:rsid w:val="00C511E2"/>
    <w:rsid w:val="00C53921"/>
    <w:rsid w:val="00C54C25"/>
    <w:rsid w:val="00C57241"/>
    <w:rsid w:val="00C577F2"/>
    <w:rsid w:val="00C57AC9"/>
    <w:rsid w:val="00C731D4"/>
    <w:rsid w:val="00C735C4"/>
    <w:rsid w:val="00C7460B"/>
    <w:rsid w:val="00C74882"/>
    <w:rsid w:val="00C75563"/>
    <w:rsid w:val="00C768EE"/>
    <w:rsid w:val="00C77D96"/>
    <w:rsid w:val="00C80920"/>
    <w:rsid w:val="00C814E8"/>
    <w:rsid w:val="00C81CAD"/>
    <w:rsid w:val="00C8267F"/>
    <w:rsid w:val="00C856A8"/>
    <w:rsid w:val="00C8653B"/>
    <w:rsid w:val="00C9222E"/>
    <w:rsid w:val="00C93E30"/>
    <w:rsid w:val="00C947F8"/>
    <w:rsid w:val="00C96392"/>
    <w:rsid w:val="00CA02BF"/>
    <w:rsid w:val="00CA3591"/>
    <w:rsid w:val="00CB2275"/>
    <w:rsid w:val="00CC5324"/>
    <w:rsid w:val="00CC6A15"/>
    <w:rsid w:val="00CD1167"/>
    <w:rsid w:val="00CD15C4"/>
    <w:rsid w:val="00CD2E90"/>
    <w:rsid w:val="00CD3ADB"/>
    <w:rsid w:val="00CD7172"/>
    <w:rsid w:val="00CE0A42"/>
    <w:rsid w:val="00CE480F"/>
    <w:rsid w:val="00CF07D1"/>
    <w:rsid w:val="00CF1099"/>
    <w:rsid w:val="00CF1525"/>
    <w:rsid w:val="00CF5082"/>
    <w:rsid w:val="00D0581B"/>
    <w:rsid w:val="00D058D5"/>
    <w:rsid w:val="00D13FAD"/>
    <w:rsid w:val="00D2018F"/>
    <w:rsid w:val="00D21D20"/>
    <w:rsid w:val="00D21EEA"/>
    <w:rsid w:val="00D24C9A"/>
    <w:rsid w:val="00D25736"/>
    <w:rsid w:val="00D27914"/>
    <w:rsid w:val="00D34EB2"/>
    <w:rsid w:val="00D35877"/>
    <w:rsid w:val="00D42377"/>
    <w:rsid w:val="00D44E6F"/>
    <w:rsid w:val="00D543C7"/>
    <w:rsid w:val="00D60C10"/>
    <w:rsid w:val="00D62D46"/>
    <w:rsid w:val="00D67871"/>
    <w:rsid w:val="00D700EC"/>
    <w:rsid w:val="00D726C0"/>
    <w:rsid w:val="00D746B5"/>
    <w:rsid w:val="00D74CD3"/>
    <w:rsid w:val="00D9284D"/>
    <w:rsid w:val="00D9353D"/>
    <w:rsid w:val="00D93EAE"/>
    <w:rsid w:val="00DA606B"/>
    <w:rsid w:val="00DA7541"/>
    <w:rsid w:val="00DA7A8B"/>
    <w:rsid w:val="00DB05A3"/>
    <w:rsid w:val="00DB2B41"/>
    <w:rsid w:val="00DB3868"/>
    <w:rsid w:val="00DB4307"/>
    <w:rsid w:val="00DB7447"/>
    <w:rsid w:val="00DC043F"/>
    <w:rsid w:val="00DD05B6"/>
    <w:rsid w:val="00DD14AC"/>
    <w:rsid w:val="00DD1D05"/>
    <w:rsid w:val="00DD338D"/>
    <w:rsid w:val="00DD695C"/>
    <w:rsid w:val="00DD6BC5"/>
    <w:rsid w:val="00DD7913"/>
    <w:rsid w:val="00DF1120"/>
    <w:rsid w:val="00DF6655"/>
    <w:rsid w:val="00E00A8C"/>
    <w:rsid w:val="00E01532"/>
    <w:rsid w:val="00E05214"/>
    <w:rsid w:val="00E05635"/>
    <w:rsid w:val="00E120F5"/>
    <w:rsid w:val="00E135EA"/>
    <w:rsid w:val="00E16E1E"/>
    <w:rsid w:val="00E27DD2"/>
    <w:rsid w:val="00E3038C"/>
    <w:rsid w:val="00E32190"/>
    <w:rsid w:val="00E341D9"/>
    <w:rsid w:val="00E365D0"/>
    <w:rsid w:val="00E36C53"/>
    <w:rsid w:val="00E37377"/>
    <w:rsid w:val="00E40611"/>
    <w:rsid w:val="00E411D7"/>
    <w:rsid w:val="00E457C4"/>
    <w:rsid w:val="00E5137A"/>
    <w:rsid w:val="00E54629"/>
    <w:rsid w:val="00E55960"/>
    <w:rsid w:val="00E65E24"/>
    <w:rsid w:val="00E677DE"/>
    <w:rsid w:val="00E71084"/>
    <w:rsid w:val="00E71FEC"/>
    <w:rsid w:val="00E7225A"/>
    <w:rsid w:val="00E724B9"/>
    <w:rsid w:val="00E744D3"/>
    <w:rsid w:val="00E746B3"/>
    <w:rsid w:val="00E74D64"/>
    <w:rsid w:val="00E7638B"/>
    <w:rsid w:val="00E77E4A"/>
    <w:rsid w:val="00E824AD"/>
    <w:rsid w:val="00E82786"/>
    <w:rsid w:val="00E854E3"/>
    <w:rsid w:val="00E86266"/>
    <w:rsid w:val="00E91593"/>
    <w:rsid w:val="00E920AD"/>
    <w:rsid w:val="00E92187"/>
    <w:rsid w:val="00E941F8"/>
    <w:rsid w:val="00EA003B"/>
    <w:rsid w:val="00EA273D"/>
    <w:rsid w:val="00EA4A4F"/>
    <w:rsid w:val="00EA755F"/>
    <w:rsid w:val="00EB03FD"/>
    <w:rsid w:val="00EB095D"/>
    <w:rsid w:val="00EB0F16"/>
    <w:rsid w:val="00EB211D"/>
    <w:rsid w:val="00ED37D0"/>
    <w:rsid w:val="00ED44CC"/>
    <w:rsid w:val="00ED7312"/>
    <w:rsid w:val="00EE1215"/>
    <w:rsid w:val="00EE3160"/>
    <w:rsid w:val="00EE4E54"/>
    <w:rsid w:val="00EE7A34"/>
    <w:rsid w:val="00EE7EEC"/>
    <w:rsid w:val="00EF10BF"/>
    <w:rsid w:val="00EF284E"/>
    <w:rsid w:val="00EF2E18"/>
    <w:rsid w:val="00EF34EB"/>
    <w:rsid w:val="00EF657D"/>
    <w:rsid w:val="00F0157E"/>
    <w:rsid w:val="00F020DA"/>
    <w:rsid w:val="00F045DB"/>
    <w:rsid w:val="00F074C4"/>
    <w:rsid w:val="00F11F19"/>
    <w:rsid w:val="00F17A0D"/>
    <w:rsid w:val="00F20224"/>
    <w:rsid w:val="00F21C47"/>
    <w:rsid w:val="00F22244"/>
    <w:rsid w:val="00F23DC9"/>
    <w:rsid w:val="00F244A6"/>
    <w:rsid w:val="00F25A94"/>
    <w:rsid w:val="00F26122"/>
    <w:rsid w:val="00F27212"/>
    <w:rsid w:val="00F3267D"/>
    <w:rsid w:val="00F34133"/>
    <w:rsid w:val="00F4105B"/>
    <w:rsid w:val="00F4229A"/>
    <w:rsid w:val="00F435E2"/>
    <w:rsid w:val="00F4716E"/>
    <w:rsid w:val="00F47C68"/>
    <w:rsid w:val="00F50EB0"/>
    <w:rsid w:val="00F52AC6"/>
    <w:rsid w:val="00F571E7"/>
    <w:rsid w:val="00F62003"/>
    <w:rsid w:val="00F659E2"/>
    <w:rsid w:val="00F719EB"/>
    <w:rsid w:val="00F71B9A"/>
    <w:rsid w:val="00F75197"/>
    <w:rsid w:val="00F75B5C"/>
    <w:rsid w:val="00F7689B"/>
    <w:rsid w:val="00F80715"/>
    <w:rsid w:val="00F932CF"/>
    <w:rsid w:val="00FA3610"/>
    <w:rsid w:val="00FA38EC"/>
    <w:rsid w:val="00FA45A0"/>
    <w:rsid w:val="00FB1507"/>
    <w:rsid w:val="00FB7569"/>
    <w:rsid w:val="00FB7652"/>
    <w:rsid w:val="00FB7749"/>
    <w:rsid w:val="00FB781A"/>
    <w:rsid w:val="00FB7B79"/>
    <w:rsid w:val="00FC1814"/>
    <w:rsid w:val="00FC1F09"/>
    <w:rsid w:val="00FC351E"/>
    <w:rsid w:val="00FC5FAE"/>
    <w:rsid w:val="00FC6C7B"/>
    <w:rsid w:val="00FC7823"/>
    <w:rsid w:val="00FD0499"/>
    <w:rsid w:val="00FD2E18"/>
    <w:rsid w:val="00FD396A"/>
    <w:rsid w:val="00FD57E6"/>
    <w:rsid w:val="00FD7A3A"/>
    <w:rsid w:val="00FF3ECB"/>
    <w:rsid w:val="00FF7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FEC"/>
    <w:rPr>
      <w:sz w:val="24"/>
      <w:szCs w:val="24"/>
      <w:lang w:val="sv-SE" w:eastAsia="sv-SE"/>
    </w:rPr>
  </w:style>
  <w:style w:type="paragraph" w:styleId="Heading1">
    <w:name w:val="heading 1"/>
    <w:basedOn w:val="Normal"/>
    <w:next w:val="Normal"/>
    <w:qFormat/>
    <w:rsid w:val="00F22244"/>
    <w:pPr>
      <w:keepNext/>
      <w:tabs>
        <w:tab w:val="left" w:pos="3940"/>
        <w:tab w:val="left" w:pos="5660"/>
        <w:tab w:val="right" w:pos="8380"/>
      </w:tabs>
      <w:spacing w:line="240" w:lineRule="atLeast"/>
      <w:outlineLvl w:val="0"/>
    </w:pPr>
    <w:rPr>
      <w:rFonts w:ascii="Sabon" w:hAnsi="Sabon"/>
      <w:b/>
      <w:sz w:val="20"/>
    </w:rPr>
  </w:style>
  <w:style w:type="paragraph" w:styleId="Heading2">
    <w:name w:val="heading 2"/>
    <w:basedOn w:val="Normal"/>
    <w:next w:val="Normal"/>
    <w:qFormat/>
    <w:rsid w:val="00F22244"/>
    <w:pPr>
      <w:keepNext/>
      <w:ind w:right="-902"/>
      <w:outlineLvl w:val="1"/>
    </w:pPr>
    <w:rPr>
      <w:rFonts w:ascii="Bembo for Borsen Bold" w:hAnsi="Bembo for Borsen Bold"/>
      <w:b/>
      <w:caps/>
      <w:sz w:val="20"/>
    </w:rPr>
  </w:style>
  <w:style w:type="paragraph" w:styleId="Heading3">
    <w:name w:val="heading 3"/>
    <w:basedOn w:val="Normal"/>
    <w:next w:val="Normal"/>
    <w:qFormat/>
    <w:rsid w:val="00F22244"/>
    <w:pPr>
      <w:keepNext/>
      <w:ind w:right="-1162"/>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F22244"/>
    <w:rPr>
      <w:sz w:val="20"/>
      <w:vertAlign w:val="superscript"/>
    </w:rPr>
  </w:style>
  <w:style w:type="character" w:styleId="FootnoteReference">
    <w:name w:val="footnote reference"/>
    <w:basedOn w:val="DefaultParagraphFont"/>
    <w:semiHidden/>
    <w:rsid w:val="00F22244"/>
    <w:rPr>
      <w:sz w:val="20"/>
      <w:vertAlign w:val="superscript"/>
    </w:rPr>
  </w:style>
  <w:style w:type="paragraph" w:styleId="Footer">
    <w:name w:val="footer"/>
    <w:basedOn w:val="Normal"/>
    <w:rsid w:val="00F22244"/>
    <w:pPr>
      <w:tabs>
        <w:tab w:val="center" w:pos="4819"/>
        <w:tab w:val="right" w:pos="9071"/>
      </w:tabs>
    </w:pPr>
  </w:style>
  <w:style w:type="paragraph" w:styleId="Header">
    <w:name w:val="header"/>
    <w:basedOn w:val="Normal"/>
    <w:rsid w:val="00F22244"/>
    <w:pPr>
      <w:tabs>
        <w:tab w:val="center" w:pos="4819"/>
        <w:tab w:val="right" w:pos="9071"/>
      </w:tabs>
    </w:pPr>
  </w:style>
  <w:style w:type="paragraph" w:styleId="FootnoteText">
    <w:name w:val="footnote text"/>
    <w:basedOn w:val="Normal"/>
    <w:semiHidden/>
    <w:rsid w:val="00F22244"/>
    <w:rPr>
      <w:sz w:val="20"/>
    </w:rPr>
  </w:style>
  <w:style w:type="character" w:styleId="PageNumber">
    <w:name w:val="page number"/>
    <w:basedOn w:val="DefaultParagraphFont"/>
    <w:rsid w:val="00F22244"/>
    <w:rPr>
      <w:sz w:val="20"/>
    </w:rPr>
  </w:style>
  <w:style w:type="paragraph" w:styleId="BodyText">
    <w:name w:val="Body Text"/>
    <w:basedOn w:val="Normal"/>
    <w:rsid w:val="00F22244"/>
    <w:pPr>
      <w:spacing w:line="240" w:lineRule="atLeast"/>
    </w:pPr>
    <w:rPr>
      <w:rFonts w:ascii="Bembo for Borsen Bold" w:hAnsi="Bembo for Borsen Bold"/>
      <w:b/>
      <w:sz w:val="20"/>
    </w:rPr>
  </w:style>
  <w:style w:type="paragraph" w:styleId="DocumentMap">
    <w:name w:val="Document Map"/>
    <w:basedOn w:val="Normal"/>
    <w:semiHidden/>
    <w:rsid w:val="00F22244"/>
    <w:pPr>
      <w:shd w:val="clear" w:color="auto" w:fill="000080"/>
    </w:pPr>
    <w:rPr>
      <w:rFonts w:ascii="Tahoma" w:hAnsi="Tahoma"/>
    </w:rPr>
  </w:style>
  <w:style w:type="paragraph" w:styleId="BalloonText">
    <w:name w:val="Balloon Text"/>
    <w:basedOn w:val="Normal"/>
    <w:semiHidden/>
    <w:rsid w:val="00F22244"/>
    <w:rPr>
      <w:rFonts w:ascii="Tahoma" w:hAnsi="Tahoma" w:cs="Tahoma"/>
      <w:sz w:val="16"/>
      <w:szCs w:val="16"/>
    </w:rPr>
  </w:style>
  <w:style w:type="table" w:styleId="TableGrid">
    <w:name w:val="Table Grid"/>
    <w:basedOn w:val="TableNormal"/>
    <w:rsid w:val="009A06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0BEB"/>
    <w:rPr>
      <w:rFonts w:ascii="Bookman" w:hAnsi="Bookman"/>
      <w:sz w:val="24"/>
      <w:lang w:eastAsia="en-US"/>
    </w:rPr>
  </w:style>
  <w:style w:type="character" w:styleId="CommentReference">
    <w:name w:val="annotation reference"/>
    <w:basedOn w:val="DefaultParagraphFont"/>
    <w:rsid w:val="005F4BB6"/>
    <w:rPr>
      <w:sz w:val="16"/>
      <w:szCs w:val="16"/>
    </w:rPr>
  </w:style>
  <w:style w:type="paragraph" w:styleId="CommentText">
    <w:name w:val="annotation text"/>
    <w:basedOn w:val="Normal"/>
    <w:link w:val="CommentTextChar"/>
    <w:rsid w:val="005F4BB6"/>
    <w:rPr>
      <w:sz w:val="20"/>
      <w:szCs w:val="20"/>
    </w:rPr>
  </w:style>
  <w:style w:type="character" w:customStyle="1" w:styleId="CommentTextChar">
    <w:name w:val="Comment Text Char"/>
    <w:basedOn w:val="DefaultParagraphFont"/>
    <w:link w:val="CommentText"/>
    <w:rsid w:val="005F4BB6"/>
    <w:rPr>
      <w:lang w:val="sv-SE" w:eastAsia="sv-SE"/>
    </w:rPr>
  </w:style>
  <w:style w:type="paragraph" w:styleId="CommentSubject">
    <w:name w:val="annotation subject"/>
    <w:basedOn w:val="CommentText"/>
    <w:next w:val="CommentText"/>
    <w:link w:val="CommentSubjectChar"/>
    <w:rsid w:val="005F4BB6"/>
    <w:rPr>
      <w:b/>
      <w:bCs/>
    </w:rPr>
  </w:style>
  <w:style w:type="character" w:customStyle="1" w:styleId="CommentSubjectChar">
    <w:name w:val="Comment Subject Char"/>
    <w:basedOn w:val="CommentTextChar"/>
    <w:link w:val="CommentSubject"/>
    <w:rsid w:val="005F4BB6"/>
    <w:rPr>
      <w:b/>
      <w:bCs/>
      <w:lang w:val="sv-SE" w:eastAsia="sv-SE"/>
    </w:rPr>
  </w:style>
  <w:style w:type="character" w:styleId="Hyperlink">
    <w:name w:val="Hyperlink"/>
    <w:basedOn w:val="DefaultParagraphFont"/>
    <w:rsid w:val="00620AE9"/>
    <w:rPr>
      <w:color w:val="0000FF" w:themeColor="hyperlink"/>
      <w:u w:val="single"/>
    </w:rPr>
  </w:style>
  <w:style w:type="paragraph" w:customStyle="1" w:styleId="Default">
    <w:name w:val="Default"/>
    <w:basedOn w:val="Normal"/>
    <w:rsid w:val="00CD7172"/>
    <w:pPr>
      <w:autoSpaceDE w:val="0"/>
      <w:autoSpaceDN w:val="0"/>
    </w:pPr>
    <w:rPr>
      <w:rFonts w:eastAsiaTheme="minorEastAsia"/>
      <w:color w:val="000000"/>
      <w:lang w:eastAsia="en-US"/>
    </w:rPr>
  </w:style>
  <w:style w:type="character" w:styleId="FollowedHyperlink">
    <w:name w:val="FollowedHyperlink"/>
    <w:basedOn w:val="DefaultParagraphFont"/>
    <w:rsid w:val="007942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FEC"/>
    <w:rPr>
      <w:sz w:val="24"/>
      <w:szCs w:val="24"/>
      <w:lang w:val="sv-SE" w:eastAsia="sv-SE"/>
    </w:rPr>
  </w:style>
  <w:style w:type="paragraph" w:styleId="Heading1">
    <w:name w:val="heading 1"/>
    <w:basedOn w:val="Normal"/>
    <w:next w:val="Normal"/>
    <w:qFormat/>
    <w:rsid w:val="00F22244"/>
    <w:pPr>
      <w:keepNext/>
      <w:tabs>
        <w:tab w:val="left" w:pos="3940"/>
        <w:tab w:val="left" w:pos="5660"/>
        <w:tab w:val="right" w:pos="8380"/>
      </w:tabs>
      <w:spacing w:line="240" w:lineRule="atLeast"/>
      <w:outlineLvl w:val="0"/>
    </w:pPr>
    <w:rPr>
      <w:rFonts w:ascii="Sabon" w:hAnsi="Sabon"/>
      <w:b/>
      <w:sz w:val="20"/>
    </w:rPr>
  </w:style>
  <w:style w:type="paragraph" w:styleId="Heading2">
    <w:name w:val="heading 2"/>
    <w:basedOn w:val="Normal"/>
    <w:next w:val="Normal"/>
    <w:qFormat/>
    <w:rsid w:val="00F22244"/>
    <w:pPr>
      <w:keepNext/>
      <w:ind w:right="-902"/>
      <w:outlineLvl w:val="1"/>
    </w:pPr>
    <w:rPr>
      <w:rFonts w:ascii="Bembo for Borsen Bold" w:hAnsi="Bembo for Borsen Bold"/>
      <w:b/>
      <w:caps/>
      <w:sz w:val="20"/>
    </w:rPr>
  </w:style>
  <w:style w:type="paragraph" w:styleId="Heading3">
    <w:name w:val="heading 3"/>
    <w:basedOn w:val="Normal"/>
    <w:next w:val="Normal"/>
    <w:qFormat/>
    <w:rsid w:val="00F22244"/>
    <w:pPr>
      <w:keepNext/>
      <w:ind w:right="-1162"/>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F22244"/>
    <w:rPr>
      <w:sz w:val="20"/>
      <w:vertAlign w:val="superscript"/>
    </w:rPr>
  </w:style>
  <w:style w:type="character" w:styleId="FootnoteReference">
    <w:name w:val="footnote reference"/>
    <w:basedOn w:val="DefaultParagraphFont"/>
    <w:semiHidden/>
    <w:rsid w:val="00F22244"/>
    <w:rPr>
      <w:sz w:val="20"/>
      <w:vertAlign w:val="superscript"/>
    </w:rPr>
  </w:style>
  <w:style w:type="paragraph" w:styleId="Footer">
    <w:name w:val="footer"/>
    <w:basedOn w:val="Normal"/>
    <w:rsid w:val="00F22244"/>
    <w:pPr>
      <w:tabs>
        <w:tab w:val="center" w:pos="4819"/>
        <w:tab w:val="right" w:pos="9071"/>
      </w:tabs>
    </w:pPr>
  </w:style>
  <w:style w:type="paragraph" w:styleId="Header">
    <w:name w:val="header"/>
    <w:basedOn w:val="Normal"/>
    <w:rsid w:val="00F22244"/>
    <w:pPr>
      <w:tabs>
        <w:tab w:val="center" w:pos="4819"/>
        <w:tab w:val="right" w:pos="9071"/>
      </w:tabs>
    </w:pPr>
  </w:style>
  <w:style w:type="paragraph" w:styleId="FootnoteText">
    <w:name w:val="footnote text"/>
    <w:basedOn w:val="Normal"/>
    <w:semiHidden/>
    <w:rsid w:val="00F22244"/>
    <w:rPr>
      <w:sz w:val="20"/>
    </w:rPr>
  </w:style>
  <w:style w:type="character" w:styleId="PageNumber">
    <w:name w:val="page number"/>
    <w:basedOn w:val="DefaultParagraphFont"/>
    <w:rsid w:val="00F22244"/>
    <w:rPr>
      <w:sz w:val="20"/>
    </w:rPr>
  </w:style>
  <w:style w:type="paragraph" w:styleId="BodyText">
    <w:name w:val="Body Text"/>
    <w:basedOn w:val="Normal"/>
    <w:rsid w:val="00F22244"/>
    <w:pPr>
      <w:spacing w:line="240" w:lineRule="atLeast"/>
    </w:pPr>
    <w:rPr>
      <w:rFonts w:ascii="Bembo for Borsen Bold" w:hAnsi="Bembo for Borsen Bold"/>
      <w:b/>
      <w:sz w:val="20"/>
    </w:rPr>
  </w:style>
  <w:style w:type="paragraph" w:styleId="DocumentMap">
    <w:name w:val="Document Map"/>
    <w:basedOn w:val="Normal"/>
    <w:semiHidden/>
    <w:rsid w:val="00F22244"/>
    <w:pPr>
      <w:shd w:val="clear" w:color="auto" w:fill="000080"/>
    </w:pPr>
    <w:rPr>
      <w:rFonts w:ascii="Tahoma" w:hAnsi="Tahoma"/>
    </w:rPr>
  </w:style>
  <w:style w:type="paragraph" w:styleId="BalloonText">
    <w:name w:val="Balloon Text"/>
    <w:basedOn w:val="Normal"/>
    <w:semiHidden/>
    <w:rsid w:val="00F22244"/>
    <w:rPr>
      <w:rFonts w:ascii="Tahoma" w:hAnsi="Tahoma" w:cs="Tahoma"/>
      <w:sz w:val="16"/>
      <w:szCs w:val="16"/>
    </w:rPr>
  </w:style>
  <w:style w:type="table" w:styleId="TableGrid">
    <w:name w:val="Table Grid"/>
    <w:basedOn w:val="TableNormal"/>
    <w:rsid w:val="009A06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0BEB"/>
    <w:rPr>
      <w:rFonts w:ascii="Bookman" w:hAnsi="Bookman"/>
      <w:sz w:val="24"/>
      <w:lang w:eastAsia="en-US"/>
    </w:rPr>
  </w:style>
  <w:style w:type="character" w:styleId="CommentReference">
    <w:name w:val="annotation reference"/>
    <w:basedOn w:val="DefaultParagraphFont"/>
    <w:rsid w:val="005F4BB6"/>
    <w:rPr>
      <w:sz w:val="16"/>
      <w:szCs w:val="16"/>
    </w:rPr>
  </w:style>
  <w:style w:type="paragraph" w:styleId="CommentText">
    <w:name w:val="annotation text"/>
    <w:basedOn w:val="Normal"/>
    <w:link w:val="CommentTextChar"/>
    <w:rsid w:val="005F4BB6"/>
    <w:rPr>
      <w:sz w:val="20"/>
      <w:szCs w:val="20"/>
    </w:rPr>
  </w:style>
  <w:style w:type="character" w:customStyle="1" w:styleId="CommentTextChar">
    <w:name w:val="Comment Text Char"/>
    <w:basedOn w:val="DefaultParagraphFont"/>
    <w:link w:val="CommentText"/>
    <w:rsid w:val="005F4BB6"/>
    <w:rPr>
      <w:lang w:val="sv-SE" w:eastAsia="sv-SE"/>
    </w:rPr>
  </w:style>
  <w:style w:type="paragraph" w:styleId="CommentSubject">
    <w:name w:val="annotation subject"/>
    <w:basedOn w:val="CommentText"/>
    <w:next w:val="CommentText"/>
    <w:link w:val="CommentSubjectChar"/>
    <w:rsid w:val="005F4BB6"/>
    <w:rPr>
      <w:b/>
      <w:bCs/>
    </w:rPr>
  </w:style>
  <w:style w:type="character" w:customStyle="1" w:styleId="CommentSubjectChar">
    <w:name w:val="Comment Subject Char"/>
    <w:basedOn w:val="CommentTextChar"/>
    <w:link w:val="CommentSubject"/>
    <w:rsid w:val="005F4BB6"/>
    <w:rPr>
      <w:b/>
      <w:bCs/>
      <w:lang w:val="sv-SE" w:eastAsia="sv-SE"/>
    </w:rPr>
  </w:style>
  <w:style w:type="character" w:styleId="Hyperlink">
    <w:name w:val="Hyperlink"/>
    <w:basedOn w:val="DefaultParagraphFont"/>
    <w:rsid w:val="00620AE9"/>
    <w:rPr>
      <w:color w:val="0000FF" w:themeColor="hyperlink"/>
      <w:u w:val="single"/>
    </w:rPr>
  </w:style>
  <w:style w:type="paragraph" w:customStyle="1" w:styleId="Default">
    <w:name w:val="Default"/>
    <w:basedOn w:val="Normal"/>
    <w:rsid w:val="00CD7172"/>
    <w:pPr>
      <w:autoSpaceDE w:val="0"/>
      <w:autoSpaceDN w:val="0"/>
    </w:pPr>
    <w:rPr>
      <w:rFonts w:eastAsiaTheme="minorEastAsia"/>
      <w:color w:val="000000"/>
      <w:lang w:eastAsia="en-US"/>
    </w:rPr>
  </w:style>
  <w:style w:type="character" w:styleId="FollowedHyperlink">
    <w:name w:val="FollowedHyperlink"/>
    <w:basedOn w:val="DefaultParagraphFont"/>
    <w:rsid w:val="00794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8375">
      <w:bodyDiv w:val="1"/>
      <w:marLeft w:val="0"/>
      <w:marRight w:val="0"/>
      <w:marTop w:val="0"/>
      <w:marBottom w:val="0"/>
      <w:divBdr>
        <w:top w:val="none" w:sz="0" w:space="0" w:color="auto"/>
        <w:left w:val="none" w:sz="0" w:space="0" w:color="auto"/>
        <w:bottom w:val="none" w:sz="0" w:space="0" w:color="auto"/>
        <w:right w:val="none" w:sz="0" w:space="0" w:color="auto"/>
      </w:divBdr>
    </w:div>
    <w:div w:id="40205455">
      <w:bodyDiv w:val="1"/>
      <w:marLeft w:val="0"/>
      <w:marRight w:val="0"/>
      <w:marTop w:val="0"/>
      <w:marBottom w:val="0"/>
      <w:divBdr>
        <w:top w:val="none" w:sz="0" w:space="0" w:color="auto"/>
        <w:left w:val="none" w:sz="0" w:space="0" w:color="auto"/>
        <w:bottom w:val="none" w:sz="0" w:space="0" w:color="auto"/>
        <w:right w:val="none" w:sz="0" w:space="0" w:color="auto"/>
      </w:divBdr>
    </w:div>
    <w:div w:id="48190968">
      <w:bodyDiv w:val="1"/>
      <w:marLeft w:val="0"/>
      <w:marRight w:val="0"/>
      <w:marTop w:val="0"/>
      <w:marBottom w:val="0"/>
      <w:divBdr>
        <w:top w:val="none" w:sz="0" w:space="0" w:color="auto"/>
        <w:left w:val="none" w:sz="0" w:space="0" w:color="auto"/>
        <w:bottom w:val="none" w:sz="0" w:space="0" w:color="auto"/>
        <w:right w:val="none" w:sz="0" w:space="0" w:color="auto"/>
      </w:divBdr>
    </w:div>
    <w:div w:id="69693333">
      <w:bodyDiv w:val="1"/>
      <w:marLeft w:val="0"/>
      <w:marRight w:val="0"/>
      <w:marTop w:val="0"/>
      <w:marBottom w:val="0"/>
      <w:divBdr>
        <w:top w:val="none" w:sz="0" w:space="0" w:color="auto"/>
        <w:left w:val="none" w:sz="0" w:space="0" w:color="auto"/>
        <w:bottom w:val="none" w:sz="0" w:space="0" w:color="auto"/>
        <w:right w:val="none" w:sz="0" w:space="0" w:color="auto"/>
      </w:divBdr>
    </w:div>
    <w:div w:id="82649097">
      <w:bodyDiv w:val="1"/>
      <w:marLeft w:val="0"/>
      <w:marRight w:val="0"/>
      <w:marTop w:val="0"/>
      <w:marBottom w:val="0"/>
      <w:divBdr>
        <w:top w:val="none" w:sz="0" w:space="0" w:color="auto"/>
        <w:left w:val="none" w:sz="0" w:space="0" w:color="auto"/>
        <w:bottom w:val="none" w:sz="0" w:space="0" w:color="auto"/>
        <w:right w:val="none" w:sz="0" w:space="0" w:color="auto"/>
      </w:divBdr>
    </w:div>
    <w:div w:id="86853362">
      <w:bodyDiv w:val="1"/>
      <w:marLeft w:val="0"/>
      <w:marRight w:val="0"/>
      <w:marTop w:val="0"/>
      <w:marBottom w:val="0"/>
      <w:divBdr>
        <w:top w:val="none" w:sz="0" w:space="0" w:color="auto"/>
        <w:left w:val="none" w:sz="0" w:space="0" w:color="auto"/>
        <w:bottom w:val="none" w:sz="0" w:space="0" w:color="auto"/>
        <w:right w:val="none" w:sz="0" w:space="0" w:color="auto"/>
      </w:divBdr>
    </w:div>
    <w:div w:id="161555185">
      <w:bodyDiv w:val="1"/>
      <w:marLeft w:val="0"/>
      <w:marRight w:val="0"/>
      <w:marTop w:val="0"/>
      <w:marBottom w:val="0"/>
      <w:divBdr>
        <w:top w:val="none" w:sz="0" w:space="0" w:color="auto"/>
        <w:left w:val="none" w:sz="0" w:space="0" w:color="auto"/>
        <w:bottom w:val="none" w:sz="0" w:space="0" w:color="auto"/>
        <w:right w:val="none" w:sz="0" w:space="0" w:color="auto"/>
      </w:divBdr>
    </w:div>
    <w:div w:id="170682449">
      <w:bodyDiv w:val="1"/>
      <w:marLeft w:val="0"/>
      <w:marRight w:val="0"/>
      <w:marTop w:val="0"/>
      <w:marBottom w:val="0"/>
      <w:divBdr>
        <w:top w:val="none" w:sz="0" w:space="0" w:color="auto"/>
        <w:left w:val="none" w:sz="0" w:space="0" w:color="auto"/>
        <w:bottom w:val="none" w:sz="0" w:space="0" w:color="auto"/>
        <w:right w:val="none" w:sz="0" w:space="0" w:color="auto"/>
      </w:divBdr>
    </w:div>
    <w:div w:id="176774521">
      <w:bodyDiv w:val="1"/>
      <w:marLeft w:val="0"/>
      <w:marRight w:val="0"/>
      <w:marTop w:val="0"/>
      <w:marBottom w:val="0"/>
      <w:divBdr>
        <w:top w:val="none" w:sz="0" w:space="0" w:color="auto"/>
        <w:left w:val="none" w:sz="0" w:space="0" w:color="auto"/>
        <w:bottom w:val="none" w:sz="0" w:space="0" w:color="auto"/>
        <w:right w:val="none" w:sz="0" w:space="0" w:color="auto"/>
      </w:divBdr>
    </w:div>
    <w:div w:id="184944612">
      <w:bodyDiv w:val="1"/>
      <w:marLeft w:val="0"/>
      <w:marRight w:val="0"/>
      <w:marTop w:val="0"/>
      <w:marBottom w:val="0"/>
      <w:divBdr>
        <w:top w:val="none" w:sz="0" w:space="0" w:color="auto"/>
        <w:left w:val="none" w:sz="0" w:space="0" w:color="auto"/>
        <w:bottom w:val="none" w:sz="0" w:space="0" w:color="auto"/>
        <w:right w:val="none" w:sz="0" w:space="0" w:color="auto"/>
      </w:divBdr>
    </w:div>
    <w:div w:id="191067470">
      <w:bodyDiv w:val="1"/>
      <w:marLeft w:val="0"/>
      <w:marRight w:val="0"/>
      <w:marTop w:val="0"/>
      <w:marBottom w:val="0"/>
      <w:divBdr>
        <w:top w:val="none" w:sz="0" w:space="0" w:color="auto"/>
        <w:left w:val="none" w:sz="0" w:space="0" w:color="auto"/>
        <w:bottom w:val="none" w:sz="0" w:space="0" w:color="auto"/>
        <w:right w:val="none" w:sz="0" w:space="0" w:color="auto"/>
      </w:divBdr>
    </w:div>
    <w:div w:id="262885724">
      <w:bodyDiv w:val="1"/>
      <w:marLeft w:val="0"/>
      <w:marRight w:val="0"/>
      <w:marTop w:val="0"/>
      <w:marBottom w:val="0"/>
      <w:divBdr>
        <w:top w:val="none" w:sz="0" w:space="0" w:color="auto"/>
        <w:left w:val="none" w:sz="0" w:space="0" w:color="auto"/>
        <w:bottom w:val="none" w:sz="0" w:space="0" w:color="auto"/>
        <w:right w:val="none" w:sz="0" w:space="0" w:color="auto"/>
      </w:divBdr>
    </w:div>
    <w:div w:id="281812953">
      <w:bodyDiv w:val="1"/>
      <w:marLeft w:val="0"/>
      <w:marRight w:val="0"/>
      <w:marTop w:val="0"/>
      <w:marBottom w:val="0"/>
      <w:divBdr>
        <w:top w:val="none" w:sz="0" w:space="0" w:color="auto"/>
        <w:left w:val="none" w:sz="0" w:space="0" w:color="auto"/>
        <w:bottom w:val="none" w:sz="0" w:space="0" w:color="auto"/>
        <w:right w:val="none" w:sz="0" w:space="0" w:color="auto"/>
      </w:divBdr>
    </w:div>
    <w:div w:id="284586889">
      <w:bodyDiv w:val="1"/>
      <w:marLeft w:val="0"/>
      <w:marRight w:val="0"/>
      <w:marTop w:val="0"/>
      <w:marBottom w:val="0"/>
      <w:divBdr>
        <w:top w:val="none" w:sz="0" w:space="0" w:color="auto"/>
        <w:left w:val="none" w:sz="0" w:space="0" w:color="auto"/>
        <w:bottom w:val="none" w:sz="0" w:space="0" w:color="auto"/>
        <w:right w:val="none" w:sz="0" w:space="0" w:color="auto"/>
      </w:divBdr>
    </w:div>
    <w:div w:id="299576526">
      <w:bodyDiv w:val="1"/>
      <w:marLeft w:val="0"/>
      <w:marRight w:val="0"/>
      <w:marTop w:val="0"/>
      <w:marBottom w:val="0"/>
      <w:divBdr>
        <w:top w:val="none" w:sz="0" w:space="0" w:color="auto"/>
        <w:left w:val="none" w:sz="0" w:space="0" w:color="auto"/>
        <w:bottom w:val="none" w:sz="0" w:space="0" w:color="auto"/>
        <w:right w:val="none" w:sz="0" w:space="0" w:color="auto"/>
      </w:divBdr>
    </w:div>
    <w:div w:id="307977758">
      <w:bodyDiv w:val="1"/>
      <w:marLeft w:val="0"/>
      <w:marRight w:val="0"/>
      <w:marTop w:val="0"/>
      <w:marBottom w:val="0"/>
      <w:divBdr>
        <w:top w:val="none" w:sz="0" w:space="0" w:color="auto"/>
        <w:left w:val="none" w:sz="0" w:space="0" w:color="auto"/>
        <w:bottom w:val="none" w:sz="0" w:space="0" w:color="auto"/>
        <w:right w:val="none" w:sz="0" w:space="0" w:color="auto"/>
      </w:divBdr>
    </w:div>
    <w:div w:id="339739338">
      <w:bodyDiv w:val="1"/>
      <w:marLeft w:val="0"/>
      <w:marRight w:val="0"/>
      <w:marTop w:val="0"/>
      <w:marBottom w:val="0"/>
      <w:divBdr>
        <w:top w:val="none" w:sz="0" w:space="0" w:color="auto"/>
        <w:left w:val="none" w:sz="0" w:space="0" w:color="auto"/>
        <w:bottom w:val="none" w:sz="0" w:space="0" w:color="auto"/>
        <w:right w:val="none" w:sz="0" w:space="0" w:color="auto"/>
      </w:divBdr>
    </w:div>
    <w:div w:id="349843385">
      <w:bodyDiv w:val="1"/>
      <w:marLeft w:val="0"/>
      <w:marRight w:val="0"/>
      <w:marTop w:val="0"/>
      <w:marBottom w:val="0"/>
      <w:divBdr>
        <w:top w:val="none" w:sz="0" w:space="0" w:color="auto"/>
        <w:left w:val="none" w:sz="0" w:space="0" w:color="auto"/>
        <w:bottom w:val="none" w:sz="0" w:space="0" w:color="auto"/>
        <w:right w:val="none" w:sz="0" w:space="0" w:color="auto"/>
      </w:divBdr>
    </w:div>
    <w:div w:id="367994217">
      <w:bodyDiv w:val="1"/>
      <w:marLeft w:val="0"/>
      <w:marRight w:val="0"/>
      <w:marTop w:val="0"/>
      <w:marBottom w:val="0"/>
      <w:divBdr>
        <w:top w:val="none" w:sz="0" w:space="0" w:color="auto"/>
        <w:left w:val="none" w:sz="0" w:space="0" w:color="auto"/>
        <w:bottom w:val="none" w:sz="0" w:space="0" w:color="auto"/>
        <w:right w:val="none" w:sz="0" w:space="0" w:color="auto"/>
      </w:divBdr>
    </w:div>
    <w:div w:id="392430598">
      <w:bodyDiv w:val="1"/>
      <w:marLeft w:val="0"/>
      <w:marRight w:val="0"/>
      <w:marTop w:val="0"/>
      <w:marBottom w:val="0"/>
      <w:divBdr>
        <w:top w:val="none" w:sz="0" w:space="0" w:color="auto"/>
        <w:left w:val="none" w:sz="0" w:space="0" w:color="auto"/>
        <w:bottom w:val="none" w:sz="0" w:space="0" w:color="auto"/>
        <w:right w:val="none" w:sz="0" w:space="0" w:color="auto"/>
      </w:divBdr>
    </w:div>
    <w:div w:id="398095903">
      <w:bodyDiv w:val="1"/>
      <w:marLeft w:val="0"/>
      <w:marRight w:val="0"/>
      <w:marTop w:val="0"/>
      <w:marBottom w:val="0"/>
      <w:divBdr>
        <w:top w:val="none" w:sz="0" w:space="0" w:color="auto"/>
        <w:left w:val="none" w:sz="0" w:space="0" w:color="auto"/>
        <w:bottom w:val="none" w:sz="0" w:space="0" w:color="auto"/>
        <w:right w:val="none" w:sz="0" w:space="0" w:color="auto"/>
      </w:divBdr>
    </w:div>
    <w:div w:id="411044211">
      <w:bodyDiv w:val="1"/>
      <w:marLeft w:val="0"/>
      <w:marRight w:val="0"/>
      <w:marTop w:val="0"/>
      <w:marBottom w:val="0"/>
      <w:divBdr>
        <w:top w:val="none" w:sz="0" w:space="0" w:color="auto"/>
        <w:left w:val="none" w:sz="0" w:space="0" w:color="auto"/>
        <w:bottom w:val="none" w:sz="0" w:space="0" w:color="auto"/>
        <w:right w:val="none" w:sz="0" w:space="0" w:color="auto"/>
      </w:divBdr>
    </w:div>
    <w:div w:id="425227109">
      <w:bodyDiv w:val="1"/>
      <w:marLeft w:val="0"/>
      <w:marRight w:val="0"/>
      <w:marTop w:val="0"/>
      <w:marBottom w:val="0"/>
      <w:divBdr>
        <w:top w:val="none" w:sz="0" w:space="0" w:color="auto"/>
        <w:left w:val="none" w:sz="0" w:space="0" w:color="auto"/>
        <w:bottom w:val="none" w:sz="0" w:space="0" w:color="auto"/>
        <w:right w:val="none" w:sz="0" w:space="0" w:color="auto"/>
      </w:divBdr>
    </w:div>
    <w:div w:id="432290435">
      <w:bodyDiv w:val="1"/>
      <w:marLeft w:val="0"/>
      <w:marRight w:val="0"/>
      <w:marTop w:val="0"/>
      <w:marBottom w:val="0"/>
      <w:divBdr>
        <w:top w:val="none" w:sz="0" w:space="0" w:color="auto"/>
        <w:left w:val="none" w:sz="0" w:space="0" w:color="auto"/>
        <w:bottom w:val="none" w:sz="0" w:space="0" w:color="auto"/>
        <w:right w:val="none" w:sz="0" w:space="0" w:color="auto"/>
      </w:divBdr>
    </w:div>
    <w:div w:id="439692008">
      <w:bodyDiv w:val="1"/>
      <w:marLeft w:val="0"/>
      <w:marRight w:val="0"/>
      <w:marTop w:val="0"/>
      <w:marBottom w:val="0"/>
      <w:divBdr>
        <w:top w:val="none" w:sz="0" w:space="0" w:color="auto"/>
        <w:left w:val="none" w:sz="0" w:space="0" w:color="auto"/>
        <w:bottom w:val="none" w:sz="0" w:space="0" w:color="auto"/>
        <w:right w:val="none" w:sz="0" w:space="0" w:color="auto"/>
      </w:divBdr>
    </w:div>
    <w:div w:id="478810659">
      <w:bodyDiv w:val="1"/>
      <w:marLeft w:val="0"/>
      <w:marRight w:val="0"/>
      <w:marTop w:val="0"/>
      <w:marBottom w:val="0"/>
      <w:divBdr>
        <w:top w:val="none" w:sz="0" w:space="0" w:color="auto"/>
        <w:left w:val="none" w:sz="0" w:space="0" w:color="auto"/>
        <w:bottom w:val="none" w:sz="0" w:space="0" w:color="auto"/>
        <w:right w:val="none" w:sz="0" w:space="0" w:color="auto"/>
      </w:divBdr>
    </w:div>
    <w:div w:id="503208374">
      <w:bodyDiv w:val="1"/>
      <w:marLeft w:val="0"/>
      <w:marRight w:val="0"/>
      <w:marTop w:val="0"/>
      <w:marBottom w:val="0"/>
      <w:divBdr>
        <w:top w:val="none" w:sz="0" w:space="0" w:color="auto"/>
        <w:left w:val="none" w:sz="0" w:space="0" w:color="auto"/>
        <w:bottom w:val="none" w:sz="0" w:space="0" w:color="auto"/>
        <w:right w:val="none" w:sz="0" w:space="0" w:color="auto"/>
      </w:divBdr>
    </w:div>
    <w:div w:id="514459678">
      <w:bodyDiv w:val="1"/>
      <w:marLeft w:val="0"/>
      <w:marRight w:val="0"/>
      <w:marTop w:val="0"/>
      <w:marBottom w:val="0"/>
      <w:divBdr>
        <w:top w:val="none" w:sz="0" w:space="0" w:color="auto"/>
        <w:left w:val="none" w:sz="0" w:space="0" w:color="auto"/>
        <w:bottom w:val="none" w:sz="0" w:space="0" w:color="auto"/>
        <w:right w:val="none" w:sz="0" w:space="0" w:color="auto"/>
      </w:divBdr>
    </w:div>
    <w:div w:id="537085652">
      <w:bodyDiv w:val="1"/>
      <w:marLeft w:val="0"/>
      <w:marRight w:val="0"/>
      <w:marTop w:val="0"/>
      <w:marBottom w:val="0"/>
      <w:divBdr>
        <w:top w:val="none" w:sz="0" w:space="0" w:color="auto"/>
        <w:left w:val="none" w:sz="0" w:space="0" w:color="auto"/>
        <w:bottom w:val="none" w:sz="0" w:space="0" w:color="auto"/>
        <w:right w:val="none" w:sz="0" w:space="0" w:color="auto"/>
      </w:divBdr>
    </w:div>
    <w:div w:id="553127392">
      <w:bodyDiv w:val="1"/>
      <w:marLeft w:val="0"/>
      <w:marRight w:val="0"/>
      <w:marTop w:val="0"/>
      <w:marBottom w:val="0"/>
      <w:divBdr>
        <w:top w:val="none" w:sz="0" w:space="0" w:color="auto"/>
        <w:left w:val="none" w:sz="0" w:space="0" w:color="auto"/>
        <w:bottom w:val="none" w:sz="0" w:space="0" w:color="auto"/>
        <w:right w:val="none" w:sz="0" w:space="0" w:color="auto"/>
      </w:divBdr>
    </w:div>
    <w:div w:id="583490798">
      <w:bodyDiv w:val="1"/>
      <w:marLeft w:val="0"/>
      <w:marRight w:val="0"/>
      <w:marTop w:val="0"/>
      <w:marBottom w:val="0"/>
      <w:divBdr>
        <w:top w:val="none" w:sz="0" w:space="0" w:color="auto"/>
        <w:left w:val="none" w:sz="0" w:space="0" w:color="auto"/>
        <w:bottom w:val="none" w:sz="0" w:space="0" w:color="auto"/>
        <w:right w:val="none" w:sz="0" w:space="0" w:color="auto"/>
      </w:divBdr>
    </w:div>
    <w:div w:id="591166639">
      <w:bodyDiv w:val="1"/>
      <w:marLeft w:val="0"/>
      <w:marRight w:val="0"/>
      <w:marTop w:val="0"/>
      <w:marBottom w:val="0"/>
      <w:divBdr>
        <w:top w:val="none" w:sz="0" w:space="0" w:color="auto"/>
        <w:left w:val="none" w:sz="0" w:space="0" w:color="auto"/>
        <w:bottom w:val="none" w:sz="0" w:space="0" w:color="auto"/>
        <w:right w:val="none" w:sz="0" w:space="0" w:color="auto"/>
      </w:divBdr>
    </w:div>
    <w:div w:id="611672628">
      <w:bodyDiv w:val="1"/>
      <w:marLeft w:val="0"/>
      <w:marRight w:val="0"/>
      <w:marTop w:val="0"/>
      <w:marBottom w:val="0"/>
      <w:divBdr>
        <w:top w:val="none" w:sz="0" w:space="0" w:color="auto"/>
        <w:left w:val="none" w:sz="0" w:space="0" w:color="auto"/>
        <w:bottom w:val="none" w:sz="0" w:space="0" w:color="auto"/>
        <w:right w:val="none" w:sz="0" w:space="0" w:color="auto"/>
      </w:divBdr>
    </w:div>
    <w:div w:id="635600078">
      <w:bodyDiv w:val="1"/>
      <w:marLeft w:val="0"/>
      <w:marRight w:val="0"/>
      <w:marTop w:val="0"/>
      <w:marBottom w:val="0"/>
      <w:divBdr>
        <w:top w:val="none" w:sz="0" w:space="0" w:color="auto"/>
        <w:left w:val="none" w:sz="0" w:space="0" w:color="auto"/>
        <w:bottom w:val="none" w:sz="0" w:space="0" w:color="auto"/>
        <w:right w:val="none" w:sz="0" w:space="0" w:color="auto"/>
      </w:divBdr>
    </w:div>
    <w:div w:id="645865547">
      <w:bodyDiv w:val="1"/>
      <w:marLeft w:val="0"/>
      <w:marRight w:val="0"/>
      <w:marTop w:val="0"/>
      <w:marBottom w:val="0"/>
      <w:divBdr>
        <w:top w:val="none" w:sz="0" w:space="0" w:color="auto"/>
        <w:left w:val="none" w:sz="0" w:space="0" w:color="auto"/>
        <w:bottom w:val="none" w:sz="0" w:space="0" w:color="auto"/>
        <w:right w:val="none" w:sz="0" w:space="0" w:color="auto"/>
      </w:divBdr>
    </w:div>
    <w:div w:id="655376829">
      <w:bodyDiv w:val="1"/>
      <w:marLeft w:val="0"/>
      <w:marRight w:val="0"/>
      <w:marTop w:val="0"/>
      <w:marBottom w:val="0"/>
      <w:divBdr>
        <w:top w:val="none" w:sz="0" w:space="0" w:color="auto"/>
        <w:left w:val="none" w:sz="0" w:space="0" w:color="auto"/>
        <w:bottom w:val="none" w:sz="0" w:space="0" w:color="auto"/>
        <w:right w:val="none" w:sz="0" w:space="0" w:color="auto"/>
      </w:divBdr>
    </w:div>
    <w:div w:id="679238363">
      <w:bodyDiv w:val="1"/>
      <w:marLeft w:val="0"/>
      <w:marRight w:val="0"/>
      <w:marTop w:val="0"/>
      <w:marBottom w:val="0"/>
      <w:divBdr>
        <w:top w:val="none" w:sz="0" w:space="0" w:color="auto"/>
        <w:left w:val="none" w:sz="0" w:space="0" w:color="auto"/>
        <w:bottom w:val="none" w:sz="0" w:space="0" w:color="auto"/>
        <w:right w:val="none" w:sz="0" w:space="0" w:color="auto"/>
      </w:divBdr>
    </w:div>
    <w:div w:id="690180650">
      <w:bodyDiv w:val="1"/>
      <w:marLeft w:val="0"/>
      <w:marRight w:val="0"/>
      <w:marTop w:val="0"/>
      <w:marBottom w:val="0"/>
      <w:divBdr>
        <w:top w:val="none" w:sz="0" w:space="0" w:color="auto"/>
        <w:left w:val="none" w:sz="0" w:space="0" w:color="auto"/>
        <w:bottom w:val="none" w:sz="0" w:space="0" w:color="auto"/>
        <w:right w:val="none" w:sz="0" w:space="0" w:color="auto"/>
      </w:divBdr>
    </w:div>
    <w:div w:id="725110132">
      <w:bodyDiv w:val="1"/>
      <w:marLeft w:val="0"/>
      <w:marRight w:val="0"/>
      <w:marTop w:val="0"/>
      <w:marBottom w:val="0"/>
      <w:divBdr>
        <w:top w:val="none" w:sz="0" w:space="0" w:color="auto"/>
        <w:left w:val="none" w:sz="0" w:space="0" w:color="auto"/>
        <w:bottom w:val="none" w:sz="0" w:space="0" w:color="auto"/>
        <w:right w:val="none" w:sz="0" w:space="0" w:color="auto"/>
      </w:divBdr>
    </w:div>
    <w:div w:id="774712552">
      <w:bodyDiv w:val="1"/>
      <w:marLeft w:val="0"/>
      <w:marRight w:val="0"/>
      <w:marTop w:val="0"/>
      <w:marBottom w:val="0"/>
      <w:divBdr>
        <w:top w:val="none" w:sz="0" w:space="0" w:color="auto"/>
        <w:left w:val="none" w:sz="0" w:space="0" w:color="auto"/>
        <w:bottom w:val="none" w:sz="0" w:space="0" w:color="auto"/>
        <w:right w:val="none" w:sz="0" w:space="0" w:color="auto"/>
      </w:divBdr>
    </w:div>
    <w:div w:id="790901962">
      <w:bodyDiv w:val="1"/>
      <w:marLeft w:val="0"/>
      <w:marRight w:val="0"/>
      <w:marTop w:val="0"/>
      <w:marBottom w:val="0"/>
      <w:divBdr>
        <w:top w:val="none" w:sz="0" w:space="0" w:color="auto"/>
        <w:left w:val="none" w:sz="0" w:space="0" w:color="auto"/>
        <w:bottom w:val="none" w:sz="0" w:space="0" w:color="auto"/>
        <w:right w:val="none" w:sz="0" w:space="0" w:color="auto"/>
      </w:divBdr>
    </w:div>
    <w:div w:id="791441298">
      <w:bodyDiv w:val="1"/>
      <w:marLeft w:val="0"/>
      <w:marRight w:val="0"/>
      <w:marTop w:val="0"/>
      <w:marBottom w:val="0"/>
      <w:divBdr>
        <w:top w:val="none" w:sz="0" w:space="0" w:color="auto"/>
        <w:left w:val="none" w:sz="0" w:space="0" w:color="auto"/>
        <w:bottom w:val="none" w:sz="0" w:space="0" w:color="auto"/>
        <w:right w:val="none" w:sz="0" w:space="0" w:color="auto"/>
      </w:divBdr>
    </w:div>
    <w:div w:id="803501108">
      <w:bodyDiv w:val="1"/>
      <w:marLeft w:val="0"/>
      <w:marRight w:val="0"/>
      <w:marTop w:val="0"/>
      <w:marBottom w:val="0"/>
      <w:divBdr>
        <w:top w:val="none" w:sz="0" w:space="0" w:color="auto"/>
        <w:left w:val="none" w:sz="0" w:space="0" w:color="auto"/>
        <w:bottom w:val="none" w:sz="0" w:space="0" w:color="auto"/>
        <w:right w:val="none" w:sz="0" w:space="0" w:color="auto"/>
      </w:divBdr>
    </w:div>
    <w:div w:id="838156892">
      <w:bodyDiv w:val="1"/>
      <w:marLeft w:val="0"/>
      <w:marRight w:val="0"/>
      <w:marTop w:val="0"/>
      <w:marBottom w:val="0"/>
      <w:divBdr>
        <w:top w:val="none" w:sz="0" w:space="0" w:color="auto"/>
        <w:left w:val="none" w:sz="0" w:space="0" w:color="auto"/>
        <w:bottom w:val="none" w:sz="0" w:space="0" w:color="auto"/>
        <w:right w:val="none" w:sz="0" w:space="0" w:color="auto"/>
      </w:divBdr>
    </w:div>
    <w:div w:id="844247420">
      <w:bodyDiv w:val="1"/>
      <w:marLeft w:val="0"/>
      <w:marRight w:val="0"/>
      <w:marTop w:val="0"/>
      <w:marBottom w:val="0"/>
      <w:divBdr>
        <w:top w:val="none" w:sz="0" w:space="0" w:color="auto"/>
        <w:left w:val="none" w:sz="0" w:space="0" w:color="auto"/>
        <w:bottom w:val="none" w:sz="0" w:space="0" w:color="auto"/>
        <w:right w:val="none" w:sz="0" w:space="0" w:color="auto"/>
      </w:divBdr>
    </w:div>
    <w:div w:id="901797111">
      <w:bodyDiv w:val="1"/>
      <w:marLeft w:val="0"/>
      <w:marRight w:val="0"/>
      <w:marTop w:val="0"/>
      <w:marBottom w:val="0"/>
      <w:divBdr>
        <w:top w:val="none" w:sz="0" w:space="0" w:color="auto"/>
        <w:left w:val="none" w:sz="0" w:space="0" w:color="auto"/>
        <w:bottom w:val="none" w:sz="0" w:space="0" w:color="auto"/>
        <w:right w:val="none" w:sz="0" w:space="0" w:color="auto"/>
      </w:divBdr>
    </w:div>
    <w:div w:id="934820782">
      <w:bodyDiv w:val="1"/>
      <w:marLeft w:val="0"/>
      <w:marRight w:val="0"/>
      <w:marTop w:val="0"/>
      <w:marBottom w:val="0"/>
      <w:divBdr>
        <w:top w:val="none" w:sz="0" w:space="0" w:color="auto"/>
        <w:left w:val="none" w:sz="0" w:space="0" w:color="auto"/>
        <w:bottom w:val="none" w:sz="0" w:space="0" w:color="auto"/>
        <w:right w:val="none" w:sz="0" w:space="0" w:color="auto"/>
      </w:divBdr>
    </w:div>
    <w:div w:id="936672213">
      <w:bodyDiv w:val="1"/>
      <w:marLeft w:val="0"/>
      <w:marRight w:val="0"/>
      <w:marTop w:val="0"/>
      <w:marBottom w:val="0"/>
      <w:divBdr>
        <w:top w:val="none" w:sz="0" w:space="0" w:color="auto"/>
        <w:left w:val="none" w:sz="0" w:space="0" w:color="auto"/>
        <w:bottom w:val="none" w:sz="0" w:space="0" w:color="auto"/>
        <w:right w:val="none" w:sz="0" w:space="0" w:color="auto"/>
      </w:divBdr>
    </w:div>
    <w:div w:id="961886979">
      <w:bodyDiv w:val="1"/>
      <w:marLeft w:val="0"/>
      <w:marRight w:val="0"/>
      <w:marTop w:val="0"/>
      <w:marBottom w:val="0"/>
      <w:divBdr>
        <w:top w:val="none" w:sz="0" w:space="0" w:color="auto"/>
        <w:left w:val="none" w:sz="0" w:space="0" w:color="auto"/>
        <w:bottom w:val="none" w:sz="0" w:space="0" w:color="auto"/>
        <w:right w:val="none" w:sz="0" w:space="0" w:color="auto"/>
      </w:divBdr>
    </w:div>
    <w:div w:id="974020488">
      <w:bodyDiv w:val="1"/>
      <w:marLeft w:val="0"/>
      <w:marRight w:val="0"/>
      <w:marTop w:val="0"/>
      <w:marBottom w:val="0"/>
      <w:divBdr>
        <w:top w:val="none" w:sz="0" w:space="0" w:color="auto"/>
        <w:left w:val="none" w:sz="0" w:space="0" w:color="auto"/>
        <w:bottom w:val="none" w:sz="0" w:space="0" w:color="auto"/>
        <w:right w:val="none" w:sz="0" w:space="0" w:color="auto"/>
      </w:divBdr>
    </w:div>
    <w:div w:id="994453843">
      <w:bodyDiv w:val="1"/>
      <w:marLeft w:val="0"/>
      <w:marRight w:val="0"/>
      <w:marTop w:val="0"/>
      <w:marBottom w:val="0"/>
      <w:divBdr>
        <w:top w:val="none" w:sz="0" w:space="0" w:color="auto"/>
        <w:left w:val="none" w:sz="0" w:space="0" w:color="auto"/>
        <w:bottom w:val="none" w:sz="0" w:space="0" w:color="auto"/>
        <w:right w:val="none" w:sz="0" w:space="0" w:color="auto"/>
      </w:divBdr>
    </w:div>
    <w:div w:id="1106537602">
      <w:bodyDiv w:val="1"/>
      <w:marLeft w:val="0"/>
      <w:marRight w:val="0"/>
      <w:marTop w:val="0"/>
      <w:marBottom w:val="0"/>
      <w:divBdr>
        <w:top w:val="none" w:sz="0" w:space="0" w:color="auto"/>
        <w:left w:val="none" w:sz="0" w:space="0" w:color="auto"/>
        <w:bottom w:val="none" w:sz="0" w:space="0" w:color="auto"/>
        <w:right w:val="none" w:sz="0" w:space="0" w:color="auto"/>
      </w:divBdr>
    </w:div>
    <w:div w:id="1114861375">
      <w:bodyDiv w:val="1"/>
      <w:marLeft w:val="0"/>
      <w:marRight w:val="0"/>
      <w:marTop w:val="0"/>
      <w:marBottom w:val="0"/>
      <w:divBdr>
        <w:top w:val="none" w:sz="0" w:space="0" w:color="auto"/>
        <w:left w:val="none" w:sz="0" w:space="0" w:color="auto"/>
        <w:bottom w:val="none" w:sz="0" w:space="0" w:color="auto"/>
        <w:right w:val="none" w:sz="0" w:space="0" w:color="auto"/>
      </w:divBdr>
    </w:div>
    <w:div w:id="1127092435">
      <w:bodyDiv w:val="1"/>
      <w:marLeft w:val="0"/>
      <w:marRight w:val="0"/>
      <w:marTop w:val="0"/>
      <w:marBottom w:val="0"/>
      <w:divBdr>
        <w:top w:val="none" w:sz="0" w:space="0" w:color="auto"/>
        <w:left w:val="none" w:sz="0" w:space="0" w:color="auto"/>
        <w:bottom w:val="none" w:sz="0" w:space="0" w:color="auto"/>
        <w:right w:val="none" w:sz="0" w:space="0" w:color="auto"/>
      </w:divBdr>
    </w:div>
    <w:div w:id="1131897886">
      <w:bodyDiv w:val="1"/>
      <w:marLeft w:val="0"/>
      <w:marRight w:val="0"/>
      <w:marTop w:val="0"/>
      <w:marBottom w:val="0"/>
      <w:divBdr>
        <w:top w:val="none" w:sz="0" w:space="0" w:color="auto"/>
        <w:left w:val="none" w:sz="0" w:space="0" w:color="auto"/>
        <w:bottom w:val="none" w:sz="0" w:space="0" w:color="auto"/>
        <w:right w:val="none" w:sz="0" w:space="0" w:color="auto"/>
      </w:divBdr>
    </w:div>
    <w:div w:id="1193494428">
      <w:bodyDiv w:val="1"/>
      <w:marLeft w:val="0"/>
      <w:marRight w:val="0"/>
      <w:marTop w:val="0"/>
      <w:marBottom w:val="0"/>
      <w:divBdr>
        <w:top w:val="none" w:sz="0" w:space="0" w:color="auto"/>
        <w:left w:val="none" w:sz="0" w:space="0" w:color="auto"/>
        <w:bottom w:val="none" w:sz="0" w:space="0" w:color="auto"/>
        <w:right w:val="none" w:sz="0" w:space="0" w:color="auto"/>
      </w:divBdr>
    </w:div>
    <w:div w:id="1205216733">
      <w:bodyDiv w:val="1"/>
      <w:marLeft w:val="0"/>
      <w:marRight w:val="0"/>
      <w:marTop w:val="0"/>
      <w:marBottom w:val="0"/>
      <w:divBdr>
        <w:top w:val="none" w:sz="0" w:space="0" w:color="auto"/>
        <w:left w:val="none" w:sz="0" w:space="0" w:color="auto"/>
        <w:bottom w:val="none" w:sz="0" w:space="0" w:color="auto"/>
        <w:right w:val="none" w:sz="0" w:space="0" w:color="auto"/>
      </w:divBdr>
    </w:div>
    <w:div w:id="1259827330">
      <w:bodyDiv w:val="1"/>
      <w:marLeft w:val="0"/>
      <w:marRight w:val="0"/>
      <w:marTop w:val="0"/>
      <w:marBottom w:val="0"/>
      <w:divBdr>
        <w:top w:val="none" w:sz="0" w:space="0" w:color="auto"/>
        <w:left w:val="none" w:sz="0" w:space="0" w:color="auto"/>
        <w:bottom w:val="none" w:sz="0" w:space="0" w:color="auto"/>
        <w:right w:val="none" w:sz="0" w:space="0" w:color="auto"/>
      </w:divBdr>
    </w:div>
    <w:div w:id="1300914172">
      <w:bodyDiv w:val="1"/>
      <w:marLeft w:val="0"/>
      <w:marRight w:val="0"/>
      <w:marTop w:val="0"/>
      <w:marBottom w:val="0"/>
      <w:divBdr>
        <w:top w:val="none" w:sz="0" w:space="0" w:color="auto"/>
        <w:left w:val="none" w:sz="0" w:space="0" w:color="auto"/>
        <w:bottom w:val="none" w:sz="0" w:space="0" w:color="auto"/>
        <w:right w:val="none" w:sz="0" w:space="0" w:color="auto"/>
      </w:divBdr>
    </w:div>
    <w:div w:id="1339424951">
      <w:bodyDiv w:val="1"/>
      <w:marLeft w:val="0"/>
      <w:marRight w:val="0"/>
      <w:marTop w:val="0"/>
      <w:marBottom w:val="0"/>
      <w:divBdr>
        <w:top w:val="none" w:sz="0" w:space="0" w:color="auto"/>
        <w:left w:val="none" w:sz="0" w:space="0" w:color="auto"/>
        <w:bottom w:val="none" w:sz="0" w:space="0" w:color="auto"/>
        <w:right w:val="none" w:sz="0" w:space="0" w:color="auto"/>
      </w:divBdr>
    </w:div>
    <w:div w:id="1383409770">
      <w:bodyDiv w:val="1"/>
      <w:marLeft w:val="0"/>
      <w:marRight w:val="0"/>
      <w:marTop w:val="0"/>
      <w:marBottom w:val="0"/>
      <w:divBdr>
        <w:top w:val="none" w:sz="0" w:space="0" w:color="auto"/>
        <w:left w:val="none" w:sz="0" w:space="0" w:color="auto"/>
        <w:bottom w:val="none" w:sz="0" w:space="0" w:color="auto"/>
        <w:right w:val="none" w:sz="0" w:space="0" w:color="auto"/>
      </w:divBdr>
    </w:div>
    <w:div w:id="1427455629">
      <w:bodyDiv w:val="1"/>
      <w:marLeft w:val="0"/>
      <w:marRight w:val="0"/>
      <w:marTop w:val="0"/>
      <w:marBottom w:val="0"/>
      <w:divBdr>
        <w:top w:val="none" w:sz="0" w:space="0" w:color="auto"/>
        <w:left w:val="none" w:sz="0" w:space="0" w:color="auto"/>
        <w:bottom w:val="none" w:sz="0" w:space="0" w:color="auto"/>
        <w:right w:val="none" w:sz="0" w:space="0" w:color="auto"/>
      </w:divBdr>
    </w:div>
    <w:div w:id="1430853921">
      <w:bodyDiv w:val="1"/>
      <w:marLeft w:val="0"/>
      <w:marRight w:val="0"/>
      <w:marTop w:val="0"/>
      <w:marBottom w:val="0"/>
      <w:divBdr>
        <w:top w:val="none" w:sz="0" w:space="0" w:color="auto"/>
        <w:left w:val="none" w:sz="0" w:space="0" w:color="auto"/>
        <w:bottom w:val="none" w:sz="0" w:space="0" w:color="auto"/>
        <w:right w:val="none" w:sz="0" w:space="0" w:color="auto"/>
      </w:divBdr>
    </w:div>
    <w:div w:id="1436170968">
      <w:bodyDiv w:val="1"/>
      <w:marLeft w:val="0"/>
      <w:marRight w:val="0"/>
      <w:marTop w:val="0"/>
      <w:marBottom w:val="0"/>
      <w:divBdr>
        <w:top w:val="none" w:sz="0" w:space="0" w:color="auto"/>
        <w:left w:val="none" w:sz="0" w:space="0" w:color="auto"/>
        <w:bottom w:val="none" w:sz="0" w:space="0" w:color="auto"/>
        <w:right w:val="none" w:sz="0" w:space="0" w:color="auto"/>
      </w:divBdr>
    </w:div>
    <w:div w:id="1461723875">
      <w:bodyDiv w:val="1"/>
      <w:marLeft w:val="0"/>
      <w:marRight w:val="0"/>
      <w:marTop w:val="0"/>
      <w:marBottom w:val="0"/>
      <w:divBdr>
        <w:top w:val="none" w:sz="0" w:space="0" w:color="auto"/>
        <w:left w:val="none" w:sz="0" w:space="0" w:color="auto"/>
        <w:bottom w:val="none" w:sz="0" w:space="0" w:color="auto"/>
        <w:right w:val="none" w:sz="0" w:space="0" w:color="auto"/>
      </w:divBdr>
    </w:div>
    <w:div w:id="1486819958">
      <w:bodyDiv w:val="1"/>
      <w:marLeft w:val="0"/>
      <w:marRight w:val="0"/>
      <w:marTop w:val="0"/>
      <w:marBottom w:val="0"/>
      <w:divBdr>
        <w:top w:val="none" w:sz="0" w:space="0" w:color="auto"/>
        <w:left w:val="none" w:sz="0" w:space="0" w:color="auto"/>
        <w:bottom w:val="none" w:sz="0" w:space="0" w:color="auto"/>
        <w:right w:val="none" w:sz="0" w:space="0" w:color="auto"/>
      </w:divBdr>
    </w:div>
    <w:div w:id="1523401984">
      <w:bodyDiv w:val="1"/>
      <w:marLeft w:val="0"/>
      <w:marRight w:val="0"/>
      <w:marTop w:val="0"/>
      <w:marBottom w:val="0"/>
      <w:divBdr>
        <w:top w:val="none" w:sz="0" w:space="0" w:color="auto"/>
        <w:left w:val="none" w:sz="0" w:space="0" w:color="auto"/>
        <w:bottom w:val="none" w:sz="0" w:space="0" w:color="auto"/>
        <w:right w:val="none" w:sz="0" w:space="0" w:color="auto"/>
      </w:divBdr>
    </w:div>
    <w:div w:id="1528714251">
      <w:bodyDiv w:val="1"/>
      <w:marLeft w:val="0"/>
      <w:marRight w:val="0"/>
      <w:marTop w:val="0"/>
      <w:marBottom w:val="0"/>
      <w:divBdr>
        <w:top w:val="none" w:sz="0" w:space="0" w:color="auto"/>
        <w:left w:val="none" w:sz="0" w:space="0" w:color="auto"/>
        <w:bottom w:val="none" w:sz="0" w:space="0" w:color="auto"/>
        <w:right w:val="none" w:sz="0" w:space="0" w:color="auto"/>
      </w:divBdr>
    </w:div>
    <w:div w:id="1539775783">
      <w:bodyDiv w:val="1"/>
      <w:marLeft w:val="0"/>
      <w:marRight w:val="0"/>
      <w:marTop w:val="0"/>
      <w:marBottom w:val="0"/>
      <w:divBdr>
        <w:top w:val="none" w:sz="0" w:space="0" w:color="auto"/>
        <w:left w:val="none" w:sz="0" w:space="0" w:color="auto"/>
        <w:bottom w:val="none" w:sz="0" w:space="0" w:color="auto"/>
        <w:right w:val="none" w:sz="0" w:space="0" w:color="auto"/>
      </w:divBdr>
    </w:div>
    <w:div w:id="1550844201">
      <w:bodyDiv w:val="1"/>
      <w:marLeft w:val="0"/>
      <w:marRight w:val="0"/>
      <w:marTop w:val="0"/>
      <w:marBottom w:val="0"/>
      <w:divBdr>
        <w:top w:val="none" w:sz="0" w:space="0" w:color="auto"/>
        <w:left w:val="none" w:sz="0" w:space="0" w:color="auto"/>
        <w:bottom w:val="none" w:sz="0" w:space="0" w:color="auto"/>
        <w:right w:val="none" w:sz="0" w:space="0" w:color="auto"/>
      </w:divBdr>
    </w:div>
    <w:div w:id="1575697828">
      <w:bodyDiv w:val="1"/>
      <w:marLeft w:val="0"/>
      <w:marRight w:val="0"/>
      <w:marTop w:val="0"/>
      <w:marBottom w:val="0"/>
      <w:divBdr>
        <w:top w:val="none" w:sz="0" w:space="0" w:color="auto"/>
        <w:left w:val="none" w:sz="0" w:space="0" w:color="auto"/>
        <w:bottom w:val="none" w:sz="0" w:space="0" w:color="auto"/>
        <w:right w:val="none" w:sz="0" w:space="0" w:color="auto"/>
      </w:divBdr>
    </w:div>
    <w:div w:id="1604074084">
      <w:bodyDiv w:val="1"/>
      <w:marLeft w:val="0"/>
      <w:marRight w:val="0"/>
      <w:marTop w:val="0"/>
      <w:marBottom w:val="0"/>
      <w:divBdr>
        <w:top w:val="none" w:sz="0" w:space="0" w:color="auto"/>
        <w:left w:val="none" w:sz="0" w:space="0" w:color="auto"/>
        <w:bottom w:val="none" w:sz="0" w:space="0" w:color="auto"/>
        <w:right w:val="none" w:sz="0" w:space="0" w:color="auto"/>
      </w:divBdr>
    </w:div>
    <w:div w:id="1628045339">
      <w:bodyDiv w:val="1"/>
      <w:marLeft w:val="0"/>
      <w:marRight w:val="0"/>
      <w:marTop w:val="0"/>
      <w:marBottom w:val="0"/>
      <w:divBdr>
        <w:top w:val="none" w:sz="0" w:space="0" w:color="auto"/>
        <w:left w:val="none" w:sz="0" w:space="0" w:color="auto"/>
        <w:bottom w:val="none" w:sz="0" w:space="0" w:color="auto"/>
        <w:right w:val="none" w:sz="0" w:space="0" w:color="auto"/>
      </w:divBdr>
    </w:div>
    <w:div w:id="1678382739">
      <w:bodyDiv w:val="1"/>
      <w:marLeft w:val="0"/>
      <w:marRight w:val="0"/>
      <w:marTop w:val="0"/>
      <w:marBottom w:val="0"/>
      <w:divBdr>
        <w:top w:val="none" w:sz="0" w:space="0" w:color="auto"/>
        <w:left w:val="none" w:sz="0" w:space="0" w:color="auto"/>
        <w:bottom w:val="none" w:sz="0" w:space="0" w:color="auto"/>
        <w:right w:val="none" w:sz="0" w:space="0" w:color="auto"/>
      </w:divBdr>
    </w:div>
    <w:div w:id="1726485093">
      <w:bodyDiv w:val="1"/>
      <w:marLeft w:val="0"/>
      <w:marRight w:val="0"/>
      <w:marTop w:val="0"/>
      <w:marBottom w:val="0"/>
      <w:divBdr>
        <w:top w:val="none" w:sz="0" w:space="0" w:color="auto"/>
        <w:left w:val="none" w:sz="0" w:space="0" w:color="auto"/>
        <w:bottom w:val="none" w:sz="0" w:space="0" w:color="auto"/>
        <w:right w:val="none" w:sz="0" w:space="0" w:color="auto"/>
      </w:divBdr>
    </w:div>
    <w:div w:id="1775399995">
      <w:bodyDiv w:val="1"/>
      <w:marLeft w:val="0"/>
      <w:marRight w:val="0"/>
      <w:marTop w:val="0"/>
      <w:marBottom w:val="0"/>
      <w:divBdr>
        <w:top w:val="none" w:sz="0" w:space="0" w:color="auto"/>
        <w:left w:val="none" w:sz="0" w:space="0" w:color="auto"/>
        <w:bottom w:val="none" w:sz="0" w:space="0" w:color="auto"/>
        <w:right w:val="none" w:sz="0" w:space="0" w:color="auto"/>
      </w:divBdr>
    </w:div>
    <w:div w:id="1895896383">
      <w:bodyDiv w:val="1"/>
      <w:marLeft w:val="0"/>
      <w:marRight w:val="0"/>
      <w:marTop w:val="0"/>
      <w:marBottom w:val="0"/>
      <w:divBdr>
        <w:top w:val="none" w:sz="0" w:space="0" w:color="auto"/>
        <w:left w:val="none" w:sz="0" w:space="0" w:color="auto"/>
        <w:bottom w:val="none" w:sz="0" w:space="0" w:color="auto"/>
        <w:right w:val="none" w:sz="0" w:space="0" w:color="auto"/>
      </w:divBdr>
    </w:div>
    <w:div w:id="1901400606">
      <w:bodyDiv w:val="1"/>
      <w:marLeft w:val="0"/>
      <w:marRight w:val="0"/>
      <w:marTop w:val="0"/>
      <w:marBottom w:val="0"/>
      <w:divBdr>
        <w:top w:val="none" w:sz="0" w:space="0" w:color="auto"/>
        <w:left w:val="none" w:sz="0" w:space="0" w:color="auto"/>
        <w:bottom w:val="none" w:sz="0" w:space="0" w:color="auto"/>
        <w:right w:val="none" w:sz="0" w:space="0" w:color="auto"/>
      </w:divBdr>
    </w:div>
    <w:div w:id="1956673700">
      <w:bodyDiv w:val="1"/>
      <w:marLeft w:val="0"/>
      <w:marRight w:val="0"/>
      <w:marTop w:val="0"/>
      <w:marBottom w:val="0"/>
      <w:divBdr>
        <w:top w:val="none" w:sz="0" w:space="0" w:color="auto"/>
        <w:left w:val="none" w:sz="0" w:space="0" w:color="auto"/>
        <w:bottom w:val="none" w:sz="0" w:space="0" w:color="auto"/>
        <w:right w:val="none" w:sz="0" w:space="0" w:color="auto"/>
      </w:divBdr>
    </w:div>
    <w:div w:id="1968318972">
      <w:bodyDiv w:val="1"/>
      <w:marLeft w:val="0"/>
      <w:marRight w:val="0"/>
      <w:marTop w:val="0"/>
      <w:marBottom w:val="0"/>
      <w:divBdr>
        <w:top w:val="none" w:sz="0" w:space="0" w:color="auto"/>
        <w:left w:val="none" w:sz="0" w:space="0" w:color="auto"/>
        <w:bottom w:val="none" w:sz="0" w:space="0" w:color="auto"/>
        <w:right w:val="none" w:sz="0" w:space="0" w:color="auto"/>
      </w:divBdr>
    </w:div>
    <w:div w:id="1981298073">
      <w:bodyDiv w:val="1"/>
      <w:marLeft w:val="0"/>
      <w:marRight w:val="0"/>
      <w:marTop w:val="0"/>
      <w:marBottom w:val="0"/>
      <w:divBdr>
        <w:top w:val="none" w:sz="0" w:space="0" w:color="auto"/>
        <w:left w:val="none" w:sz="0" w:space="0" w:color="auto"/>
        <w:bottom w:val="none" w:sz="0" w:space="0" w:color="auto"/>
        <w:right w:val="none" w:sz="0" w:space="0" w:color="auto"/>
      </w:divBdr>
    </w:div>
    <w:div w:id="1991783676">
      <w:bodyDiv w:val="1"/>
      <w:marLeft w:val="0"/>
      <w:marRight w:val="0"/>
      <w:marTop w:val="0"/>
      <w:marBottom w:val="0"/>
      <w:divBdr>
        <w:top w:val="none" w:sz="0" w:space="0" w:color="auto"/>
        <w:left w:val="none" w:sz="0" w:space="0" w:color="auto"/>
        <w:bottom w:val="none" w:sz="0" w:space="0" w:color="auto"/>
        <w:right w:val="none" w:sz="0" w:space="0" w:color="auto"/>
      </w:divBdr>
    </w:div>
    <w:div w:id="2014260347">
      <w:bodyDiv w:val="1"/>
      <w:marLeft w:val="0"/>
      <w:marRight w:val="0"/>
      <w:marTop w:val="0"/>
      <w:marBottom w:val="0"/>
      <w:divBdr>
        <w:top w:val="none" w:sz="0" w:space="0" w:color="auto"/>
        <w:left w:val="none" w:sz="0" w:space="0" w:color="auto"/>
        <w:bottom w:val="none" w:sz="0" w:space="0" w:color="auto"/>
        <w:right w:val="none" w:sz="0" w:space="0" w:color="auto"/>
      </w:divBdr>
    </w:div>
    <w:div w:id="2027444124">
      <w:bodyDiv w:val="1"/>
      <w:marLeft w:val="0"/>
      <w:marRight w:val="0"/>
      <w:marTop w:val="0"/>
      <w:marBottom w:val="0"/>
      <w:divBdr>
        <w:top w:val="none" w:sz="0" w:space="0" w:color="auto"/>
        <w:left w:val="none" w:sz="0" w:space="0" w:color="auto"/>
        <w:bottom w:val="none" w:sz="0" w:space="0" w:color="auto"/>
        <w:right w:val="none" w:sz="0" w:space="0" w:color="auto"/>
      </w:divBdr>
    </w:div>
    <w:div w:id="2046363781">
      <w:bodyDiv w:val="1"/>
      <w:marLeft w:val="0"/>
      <w:marRight w:val="0"/>
      <w:marTop w:val="0"/>
      <w:marBottom w:val="0"/>
      <w:divBdr>
        <w:top w:val="none" w:sz="0" w:space="0" w:color="auto"/>
        <w:left w:val="none" w:sz="0" w:space="0" w:color="auto"/>
        <w:bottom w:val="none" w:sz="0" w:space="0" w:color="auto"/>
        <w:right w:val="none" w:sz="0" w:space="0" w:color="auto"/>
      </w:divBdr>
    </w:div>
    <w:div w:id="2055156334">
      <w:bodyDiv w:val="1"/>
      <w:marLeft w:val="0"/>
      <w:marRight w:val="0"/>
      <w:marTop w:val="0"/>
      <w:marBottom w:val="0"/>
      <w:divBdr>
        <w:top w:val="none" w:sz="0" w:space="0" w:color="auto"/>
        <w:left w:val="none" w:sz="0" w:space="0" w:color="auto"/>
        <w:bottom w:val="none" w:sz="0" w:space="0" w:color="auto"/>
        <w:right w:val="none" w:sz="0" w:space="0" w:color="auto"/>
      </w:divBdr>
    </w:div>
    <w:div w:id="20950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siness.nasdaq.com/trade/clearing/nasdaq-clearing/risk-management/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siness.nasdaq.com/trade/clearing/nasdaq-clearing/risk-managem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A479-8BDE-47D8-B35B-AA993CCA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Svenska 930527</vt:lpstr>
    </vt:vector>
  </TitlesOfParts>
  <Company>OM Stockholm</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Svenska 930527</dc:title>
  <dc:creator>Compaq</dc:creator>
  <cp:lastModifiedBy>Joakim Norbäck</cp:lastModifiedBy>
  <cp:revision>11</cp:revision>
  <cp:lastPrinted>2015-09-30T13:23:00Z</cp:lastPrinted>
  <dcterms:created xsi:type="dcterms:W3CDTF">2015-09-30T13:11:00Z</dcterms:created>
  <dcterms:modified xsi:type="dcterms:W3CDTF">2016-08-22T15:25:00Z</dcterms:modified>
</cp:coreProperties>
</file>