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tblGrid>
      <w:tr w:rsidR="00E64080" w:rsidRPr="00AA0D1C" w14:paraId="75240CEC" w14:textId="77777777" w:rsidTr="00D376A3">
        <w:trPr>
          <w:trHeight w:val="1361"/>
        </w:trPr>
        <w:tc>
          <w:tcPr>
            <w:tcW w:w="5148" w:type="dxa"/>
            <w:tcMar>
              <w:bottom w:w="240" w:type="dxa"/>
            </w:tcMar>
          </w:tcPr>
          <w:p w14:paraId="75240CEB" w14:textId="4000B567" w:rsidR="00B87727" w:rsidRPr="00A61D5D" w:rsidRDefault="00B87727" w:rsidP="009D48A7">
            <w:pPr>
              <w:rPr>
                <w:szCs w:val="18"/>
              </w:rPr>
            </w:pPr>
            <w:bookmarkStart w:id="0" w:name="RecipientAddressTable"/>
          </w:p>
        </w:tc>
      </w:tr>
      <w:tr w:rsidR="00E64080" w:rsidRPr="00AA0D1C" w14:paraId="75240CEE" w14:textId="77777777" w:rsidTr="00CC352C">
        <w:trPr>
          <w:trHeight w:val="808"/>
        </w:trPr>
        <w:tc>
          <w:tcPr>
            <w:tcW w:w="5148" w:type="dxa"/>
          </w:tcPr>
          <w:p w14:paraId="75240CED" w14:textId="763BFCFE" w:rsidR="00E64080" w:rsidRPr="000151B3" w:rsidRDefault="00E64080" w:rsidP="009D48A7">
            <w:pPr>
              <w:rPr>
                <w:szCs w:val="18"/>
              </w:rPr>
            </w:pPr>
            <w:bookmarkStart w:id="1" w:name="AdjustRowHeight"/>
          </w:p>
        </w:tc>
      </w:tr>
    </w:tbl>
    <w:bookmarkEnd w:id="0"/>
    <w:bookmarkEnd w:id="1"/>
    <w:p w14:paraId="14D895E0" w14:textId="77777777" w:rsidR="009D29E1" w:rsidRDefault="00D376A3" w:rsidP="009D29E1">
      <w:pPr>
        <w:shd w:val="clear" w:color="auto" w:fill="FFFFFF"/>
        <w:spacing w:after="225" w:line="288" w:lineRule="atLeast"/>
        <w:outlineLvl w:val="0"/>
        <w:rPr>
          <w:b/>
          <w:bCs/>
          <w:color w:val="333333"/>
          <w:kern w:val="36"/>
          <w:sz w:val="26"/>
          <w:szCs w:val="26"/>
        </w:rPr>
      </w:pPr>
      <w:r w:rsidRPr="00AA0D1C">
        <w:rPr>
          <w:szCs w:val="18"/>
        </w:rPr>
        <w:br w:type="textWrapping" w:clear="all"/>
      </w:r>
    </w:p>
    <w:p w14:paraId="5FA02488" w14:textId="77777777" w:rsidR="009E15EE" w:rsidRDefault="00462A77" w:rsidP="009E15EE">
      <w:pPr>
        <w:shd w:val="clear" w:color="auto" w:fill="FFFFFF"/>
        <w:spacing w:after="225" w:line="288" w:lineRule="atLeast"/>
        <w:outlineLvl w:val="0"/>
        <w:rPr>
          <w:b/>
          <w:bCs/>
          <w:color w:val="333333"/>
          <w:kern w:val="36"/>
          <w:sz w:val="26"/>
          <w:szCs w:val="26"/>
          <w:lang w:val="en-US"/>
        </w:rPr>
      </w:pPr>
      <w:r w:rsidRPr="00462A77">
        <w:rPr>
          <w:b/>
          <w:bCs/>
          <w:color w:val="333333"/>
          <w:kern w:val="36"/>
          <w:sz w:val="26"/>
          <w:szCs w:val="26"/>
          <w:lang w:val="en-US"/>
        </w:rPr>
        <w:t>Remuneration Policy</w:t>
      </w:r>
    </w:p>
    <w:p w14:paraId="52594292" w14:textId="1DA66F51" w:rsidR="009E15EE" w:rsidRPr="009E15EE" w:rsidRDefault="009E15EE" w:rsidP="009E15EE">
      <w:pPr>
        <w:shd w:val="clear" w:color="auto" w:fill="FFFFFF"/>
        <w:spacing w:after="225" w:line="288" w:lineRule="atLeast"/>
        <w:outlineLvl w:val="0"/>
        <w:rPr>
          <w:b/>
          <w:bCs/>
          <w:color w:val="333333"/>
          <w:kern w:val="36"/>
          <w:sz w:val="26"/>
          <w:szCs w:val="26"/>
          <w:lang w:val="en-US"/>
        </w:rPr>
      </w:pPr>
      <w:r w:rsidRPr="00D426C9">
        <w:rPr>
          <w:b/>
          <w:bCs/>
          <w:color w:val="333333"/>
          <w:sz w:val="20"/>
          <w:szCs w:val="20"/>
          <w:lang w:val="en"/>
        </w:rPr>
        <w:t xml:space="preserve">Remuneration policy for the </w:t>
      </w:r>
      <w:r>
        <w:rPr>
          <w:b/>
          <w:bCs/>
          <w:color w:val="333333"/>
          <w:sz w:val="20"/>
          <w:szCs w:val="20"/>
          <w:lang w:val="en"/>
        </w:rPr>
        <w:t>s</w:t>
      </w:r>
      <w:r w:rsidRPr="00D426C9">
        <w:rPr>
          <w:b/>
          <w:bCs/>
          <w:color w:val="333333"/>
          <w:sz w:val="20"/>
          <w:szCs w:val="20"/>
          <w:lang w:val="en"/>
        </w:rPr>
        <w:t xml:space="preserve">upervisory </w:t>
      </w:r>
      <w:r>
        <w:rPr>
          <w:b/>
          <w:bCs/>
          <w:color w:val="333333"/>
          <w:sz w:val="20"/>
          <w:szCs w:val="20"/>
          <w:lang w:val="en"/>
        </w:rPr>
        <w:t>board and g</w:t>
      </w:r>
      <w:r w:rsidRPr="00D426C9">
        <w:rPr>
          <w:b/>
          <w:bCs/>
          <w:color w:val="333333"/>
          <w:sz w:val="20"/>
          <w:szCs w:val="20"/>
          <w:lang w:val="en"/>
        </w:rPr>
        <w:t xml:space="preserve">roup </w:t>
      </w:r>
      <w:r>
        <w:rPr>
          <w:b/>
          <w:bCs/>
          <w:color w:val="333333"/>
          <w:sz w:val="20"/>
          <w:szCs w:val="20"/>
          <w:lang w:val="en"/>
        </w:rPr>
        <w:t>m</w:t>
      </w:r>
      <w:r w:rsidRPr="00D426C9">
        <w:rPr>
          <w:b/>
          <w:bCs/>
          <w:color w:val="333333"/>
          <w:sz w:val="20"/>
          <w:szCs w:val="20"/>
          <w:lang w:val="en"/>
        </w:rPr>
        <w:t xml:space="preserve">anagement of Dalhoff Larsen &amp; </w:t>
      </w:r>
      <w:proofErr w:type="spellStart"/>
      <w:r w:rsidRPr="00D426C9">
        <w:rPr>
          <w:b/>
          <w:bCs/>
          <w:color w:val="333333"/>
          <w:sz w:val="20"/>
          <w:szCs w:val="20"/>
          <w:lang w:val="en"/>
        </w:rPr>
        <w:t>Horneman</w:t>
      </w:r>
      <w:proofErr w:type="spellEnd"/>
      <w:r w:rsidRPr="00D426C9">
        <w:rPr>
          <w:b/>
          <w:bCs/>
          <w:color w:val="333333"/>
          <w:sz w:val="20"/>
          <w:szCs w:val="20"/>
          <w:lang w:val="en"/>
        </w:rPr>
        <w:t xml:space="preserve"> A/S ("DLH")</w:t>
      </w:r>
    </w:p>
    <w:p w14:paraId="4FBE39A9" w14:textId="20766BB9" w:rsidR="009E15EE" w:rsidRDefault="00462A77" w:rsidP="009E15EE">
      <w:pPr>
        <w:shd w:val="clear" w:color="auto" w:fill="FFFFFF"/>
        <w:spacing w:line="480" w:lineRule="auto"/>
        <w:rPr>
          <w:b/>
          <w:bCs/>
          <w:color w:val="333333"/>
          <w:sz w:val="17"/>
          <w:szCs w:val="17"/>
          <w:lang w:val="en"/>
        </w:rPr>
      </w:pPr>
      <w:r w:rsidRPr="009D1D55">
        <w:rPr>
          <w:color w:val="333333"/>
          <w:sz w:val="16"/>
          <w:szCs w:val="16"/>
          <w:lang w:val="en-US"/>
        </w:rPr>
        <w:br/>
      </w:r>
      <w:r w:rsidR="009E15EE" w:rsidRPr="00D426C9">
        <w:rPr>
          <w:color w:val="333333"/>
          <w:sz w:val="17"/>
          <w:szCs w:val="17"/>
          <w:lang w:val="en"/>
        </w:rPr>
        <w:t xml:space="preserve">The guidelines concern remuneration of DLH’s </w:t>
      </w:r>
      <w:r w:rsidR="009E15EE">
        <w:rPr>
          <w:color w:val="333333"/>
          <w:sz w:val="17"/>
          <w:szCs w:val="17"/>
          <w:lang w:val="en"/>
        </w:rPr>
        <w:t>group m</w:t>
      </w:r>
      <w:r w:rsidR="009E15EE" w:rsidRPr="00D426C9">
        <w:rPr>
          <w:color w:val="333333"/>
          <w:sz w:val="17"/>
          <w:szCs w:val="17"/>
          <w:lang w:val="en"/>
        </w:rPr>
        <w:t xml:space="preserve">anagement (“Group Management”) and </w:t>
      </w:r>
      <w:r w:rsidR="009E15EE">
        <w:rPr>
          <w:color w:val="333333"/>
          <w:sz w:val="17"/>
          <w:szCs w:val="17"/>
          <w:lang w:val="en"/>
        </w:rPr>
        <w:t>s</w:t>
      </w:r>
      <w:r w:rsidR="009E15EE" w:rsidRPr="00D426C9">
        <w:rPr>
          <w:color w:val="333333"/>
          <w:sz w:val="17"/>
          <w:szCs w:val="17"/>
          <w:lang w:val="en"/>
        </w:rPr>
        <w:t xml:space="preserve">upervisory </w:t>
      </w:r>
      <w:r w:rsidR="009E15EE">
        <w:rPr>
          <w:color w:val="333333"/>
          <w:sz w:val="17"/>
          <w:szCs w:val="17"/>
          <w:lang w:val="en"/>
        </w:rPr>
        <w:t>b</w:t>
      </w:r>
      <w:r w:rsidR="009E15EE" w:rsidRPr="00D426C9">
        <w:rPr>
          <w:color w:val="333333"/>
          <w:sz w:val="17"/>
          <w:szCs w:val="17"/>
          <w:lang w:val="en"/>
        </w:rPr>
        <w:t xml:space="preserve">oard. </w:t>
      </w:r>
      <w:r w:rsidR="009E15EE" w:rsidRPr="00D426C9">
        <w:rPr>
          <w:color w:val="333333"/>
          <w:sz w:val="17"/>
          <w:szCs w:val="17"/>
          <w:lang w:val="en"/>
        </w:rPr>
        <w:br/>
      </w:r>
      <w:r w:rsidR="009E15EE" w:rsidRPr="00D426C9">
        <w:rPr>
          <w:color w:val="333333"/>
          <w:sz w:val="17"/>
          <w:szCs w:val="17"/>
          <w:lang w:val="en"/>
        </w:rPr>
        <w:br/>
      </w:r>
      <w:r w:rsidR="009E15EE" w:rsidRPr="00D426C9">
        <w:rPr>
          <w:b/>
          <w:bCs/>
          <w:color w:val="333333"/>
          <w:sz w:val="17"/>
          <w:szCs w:val="17"/>
          <w:lang w:val="en"/>
        </w:rPr>
        <w:t xml:space="preserve">1. General principles for remuneration of the </w:t>
      </w:r>
      <w:r w:rsidR="009E15EE">
        <w:rPr>
          <w:b/>
          <w:bCs/>
          <w:color w:val="333333"/>
          <w:sz w:val="17"/>
          <w:szCs w:val="17"/>
          <w:lang w:val="en"/>
        </w:rPr>
        <w:t>s</w:t>
      </w:r>
      <w:r w:rsidR="009E15EE" w:rsidRPr="00D426C9">
        <w:rPr>
          <w:b/>
          <w:bCs/>
          <w:color w:val="333333"/>
          <w:sz w:val="17"/>
          <w:szCs w:val="17"/>
          <w:lang w:val="en"/>
        </w:rPr>
        <w:t xml:space="preserve">upervisory </w:t>
      </w:r>
      <w:r w:rsidR="009E15EE">
        <w:rPr>
          <w:b/>
          <w:bCs/>
          <w:color w:val="333333"/>
          <w:sz w:val="17"/>
          <w:szCs w:val="17"/>
          <w:lang w:val="en"/>
        </w:rPr>
        <w:t>b</w:t>
      </w:r>
      <w:r w:rsidR="009E15EE" w:rsidRPr="00D426C9">
        <w:rPr>
          <w:b/>
          <w:bCs/>
          <w:color w:val="333333"/>
          <w:sz w:val="17"/>
          <w:szCs w:val="17"/>
          <w:lang w:val="en"/>
        </w:rPr>
        <w:t xml:space="preserve">oard </w:t>
      </w:r>
      <w:r w:rsidR="009E15EE" w:rsidRPr="00D426C9">
        <w:rPr>
          <w:b/>
          <w:bCs/>
          <w:color w:val="333333"/>
          <w:sz w:val="17"/>
          <w:szCs w:val="17"/>
          <w:lang w:val="en"/>
        </w:rPr>
        <w:br/>
      </w:r>
      <w:r w:rsidR="009E15EE" w:rsidRPr="00D426C9">
        <w:rPr>
          <w:color w:val="333333"/>
          <w:sz w:val="17"/>
          <w:szCs w:val="17"/>
          <w:lang w:val="en"/>
        </w:rPr>
        <w:t xml:space="preserve">The </w:t>
      </w:r>
      <w:r w:rsidR="009E15EE">
        <w:rPr>
          <w:color w:val="333333"/>
          <w:sz w:val="17"/>
          <w:szCs w:val="17"/>
          <w:lang w:val="en"/>
        </w:rPr>
        <w:t>s</w:t>
      </w:r>
      <w:r w:rsidR="009E15EE" w:rsidRPr="00D426C9">
        <w:rPr>
          <w:color w:val="333333"/>
          <w:sz w:val="17"/>
          <w:szCs w:val="17"/>
          <w:lang w:val="en"/>
        </w:rPr>
        <w:t xml:space="preserve">upervisory </w:t>
      </w:r>
      <w:r w:rsidR="009E15EE">
        <w:rPr>
          <w:color w:val="333333"/>
          <w:sz w:val="17"/>
          <w:szCs w:val="17"/>
          <w:lang w:val="en"/>
        </w:rPr>
        <w:t>b</w:t>
      </w:r>
      <w:r w:rsidR="009E15EE" w:rsidRPr="00D426C9">
        <w:rPr>
          <w:color w:val="333333"/>
          <w:sz w:val="17"/>
          <w:szCs w:val="17"/>
          <w:lang w:val="en"/>
        </w:rPr>
        <w:t xml:space="preserve">oard regularly assesses the fees paid to the </w:t>
      </w:r>
      <w:r w:rsidR="009E15EE">
        <w:rPr>
          <w:color w:val="333333"/>
          <w:sz w:val="17"/>
          <w:szCs w:val="17"/>
          <w:lang w:val="en"/>
        </w:rPr>
        <w:t>b</w:t>
      </w:r>
      <w:r w:rsidR="009E15EE" w:rsidRPr="00D426C9">
        <w:rPr>
          <w:color w:val="333333"/>
          <w:sz w:val="17"/>
          <w:szCs w:val="17"/>
          <w:lang w:val="en"/>
        </w:rPr>
        <w:t xml:space="preserve">oard based on recommendations from the </w:t>
      </w:r>
      <w:r w:rsidR="009E15EE">
        <w:rPr>
          <w:color w:val="333333"/>
          <w:sz w:val="17"/>
          <w:szCs w:val="17"/>
          <w:lang w:val="en"/>
        </w:rPr>
        <w:t>c</w:t>
      </w:r>
      <w:r w:rsidR="009E15EE" w:rsidRPr="00D426C9">
        <w:rPr>
          <w:color w:val="333333"/>
          <w:sz w:val="17"/>
          <w:szCs w:val="17"/>
          <w:lang w:val="en"/>
        </w:rPr>
        <w:t>hairmanship. In m</w:t>
      </w:r>
      <w:r w:rsidR="009E15EE">
        <w:rPr>
          <w:color w:val="333333"/>
          <w:sz w:val="17"/>
          <w:szCs w:val="17"/>
          <w:lang w:val="en"/>
        </w:rPr>
        <w:t>aking its recommendations, the c</w:t>
      </w:r>
      <w:r w:rsidR="009E15EE" w:rsidRPr="00D426C9">
        <w:rPr>
          <w:color w:val="333333"/>
          <w:sz w:val="17"/>
          <w:szCs w:val="17"/>
          <w:lang w:val="en"/>
        </w:rPr>
        <w:t xml:space="preserve">hairmanship is guided by relevant benchmarks. </w:t>
      </w:r>
      <w:r w:rsidR="009E15EE" w:rsidRPr="00D426C9">
        <w:rPr>
          <w:color w:val="333333"/>
          <w:sz w:val="17"/>
          <w:szCs w:val="17"/>
          <w:lang w:val="en"/>
        </w:rPr>
        <w:br/>
      </w:r>
      <w:r w:rsidR="009E15EE" w:rsidRPr="00D426C9">
        <w:rPr>
          <w:color w:val="333333"/>
          <w:sz w:val="17"/>
          <w:szCs w:val="17"/>
          <w:lang w:val="en"/>
        </w:rPr>
        <w:br/>
        <w:t xml:space="preserve">Remuneration of the </w:t>
      </w:r>
      <w:r w:rsidR="009E15EE">
        <w:rPr>
          <w:color w:val="333333"/>
          <w:sz w:val="17"/>
          <w:szCs w:val="17"/>
          <w:lang w:val="en"/>
        </w:rPr>
        <w:t>supervisory b</w:t>
      </w:r>
      <w:r w:rsidR="009E15EE" w:rsidRPr="00D426C9">
        <w:rPr>
          <w:color w:val="333333"/>
          <w:sz w:val="17"/>
          <w:szCs w:val="17"/>
          <w:lang w:val="en"/>
        </w:rPr>
        <w:t xml:space="preserve">oard for the present year is approved at the </w:t>
      </w:r>
      <w:r w:rsidR="009E15EE">
        <w:rPr>
          <w:color w:val="333333"/>
          <w:sz w:val="17"/>
          <w:szCs w:val="17"/>
          <w:lang w:val="en"/>
        </w:rPr>
        <w:t>annual s</w:t>
      </w:r>
      <w:r w:rsidR="009E15EE" w:rsidRPr="00D426C9">
        <w:rPr>
          <w:color w:val="333333"/>
          <w:sz w:val="17"/>
          <w:szCs w:val="17"/>
          <w:lang w:val="en"/>
        </w:rPr>
        <w:t xml:space="preserve">hareholders’ </w:t>
      </w:r>
      <w:r w:rsidR="009E15EE">
        <w:rPr>
          <w:color w:val="333333"/>
          <w:sz w:val="17"/>
          <w:szCs w:val="17"/>
          <w:lang w:val="en"/>
        </w:rPr>
        <w:t>m</w:t>
      </w:r>
      <w:r w:rsidR="009E15EE" w:rsidRPr="00D426C9">
        <w:rPr>
          <w:color w:val="333333"/>
          <w:sz w:val="17"/>
          <w:szCs w:val="17"/>
          <w:lang w:val="en"/>
        </w:rPr>
        <w:t xml:space="preserve">eeting each year. </w:t>
      </w:r>
      <w:r w:rsidR="009E15EE" w:rsidRPr="00D426C9">
        <w:rPr>
          <w:color w:val="333333"/>
          <w:sz w:val="17"/>
          <w:szCs w:val="17"/>
          <w:lang w:val="en"/>
        </w:rPr>
        <w:br/>
      </w:r>
      <w:r w:rsidR="009E15EE" w:rsidRPr="00D426C9">
        <w:rPr>
          <w:color w:val="333333"/>
          <w:sz w:val="17"/>
          <w:szCs w:val="17"/>
          <w:lang w:val="en"/>
        </w:rPr>
        <w:br/>
        <w:t xml:space="preserve">The remuneration of the </w:t>
      </w:r>
      <w:r w:rsidR="009E15EE">
        <w:rPr>
          <w:color w:val="333333"/>
          <w:sz w:val="17"/>
          <w:szCs w:val="17"/>
          <w:lang w:val="en"/>
        </w:rPr>
        <w:t>s</w:t>
      </w:r>
      <w:r w:rsidR="009E15EE" w:rsidRPr="00D426C9">
        <w:rPr>
          <w:color w:val="333333"/>
          <w:sz w:val="17"/>
          <w:szCs w:val="17"/>
          <w:lang w:val="en"/>
        </w:rPr>
        <w:t xml:space="preserve">upervisory </w:t>
      </w:r>
      <w:r w:rsidR="009E15EE">
        <w:rPr>
          <w:color w:val="333333"/>
          <w:sz w:val="17"/>
          <w:szCs w:val="17"/>
          <w:lang w:val="en"/>
        </w:rPr>
        <w:t>b</w:t>
      </w:r>
      <w:r w:rsidR="009E15EE" w:rsidRPr="00D426C9">
        <w:rPr>
          <w:color w:val="333333"/>
          <w:sz w:val="17"/>
          <w:szCs w:val="17"/>
          <w:lang w:val="en"/>
        </w:rPr>
        <w:t>oard comprises solely a fixed base salary and as such is not incentive-based. This ensures</w:t>
      </w:r>
      <w:r w:rsidR="009E15EE">
        <w:rPr>
          <w:color w:val="333333"/>
          <w:sz w:val="17"/>
          <w:szCs w:val="17"/>
          <w:lang w:val="en"/>
        </w:rPr>
        <w:t xml:space="preserve"> that the s</w:t>
      </w:r>
      <w:r w:rsidR="009E15EE" w:rsidRPr="00D426C9">
        <w:rPr>
          <w:color w:val="333333"/>
          <w:sz w:val="17"/>
          <w:szCs w:val="17"/>
          <w:lang w:val="en"/>
        </w:rPr>
        <w:t xml:space="preserve">upervisory </w:t>
      </w:r>
      <w:r w:rsidR="009E15EE">
        <w:rPr>
          <w:color w:val="333333"/>
          <w:sz w:val="17"/>
          <w:szCs w:val="17"/>
          <w:lang w:val="en"/>
        </w:rPr>
        <w:t>b</w:t>
      </w:r>
      <w:r w:rsidR="009E15EE" w:rsidRPr="00D426C9">
        <w:rPr>
          <w:color w:val="333333"/>
          <w:sz w:val="17"/>
          <w:szCs w:val="17"/>
          <w:lang w:val="en"/>
        </w:rPr>
        <w:t xml:space="preserve">oard safeguards the company’s long-term interests without taking into consideration what this may mean in terms of the value of incentive-based remuneration. </w:t>
      </w:r>
      <w:r w:rsidR="009E15EE" w:rsidRPr="00D426C9">
        <w:rPr>
          <w:color w:val="333333"/>
          <w:sz w:val="17"/>
          <w:szCs w:val="17"/>
          <w:lang w:val="en"/>
        </w:rPr>
        <w:br/>
      </w:r>
      <w:r w:rsidR="009E15EE" w:rsidRPr="00D426C9">
        <w:rPr>
          <w:color w:val="333333"/>
          <w:sz w:val="17"/>
          <w:szCs w:val="17"/>
          <w:lang w:val="en"/>
        </w:rPr>
        <w:br/>
        <w:t xml:space="preserve">The </w:t>
      </w:r>
      <w:r w:rsidR="009E15EE">
        <w:rPr>
          <w:color w:val="333333"/>
          <w:sz w:val="17"/>
          <w:szCs w:val="17"/>
          <w:lang w:val="en"/>
        </w:rPr>
        <w:t>s</w:t>
      </w:r>
      <w:r w:rsidR="009E15EE" w:rsidRPr="00D426C9">
        <w:rPr>
          <w:color w:val="333333"/>
          <w:sz w:val="17"/>
          <w:szCs w:val="17"/>
          <w:lang w:val="en"/>
        </w:rPr>
        <w:t xml:space="preserve">upervisory </w:t>
      </w:r>
      <w:r w:rsidR="009E15EE">
        <w:rPr>
          <w:color w:val="333333"/>
          <w:sz w:val="17"/>
          <w:szCs w:val="17"/>
          <w:lang w:val="en"/>
        </w:rPr>
        <w:t>b</w:t>
      </w:r>
      <w:r w:rsidR="009E15EE" w:rsidRPr="00D426C9">
        <w:rPr>
          <w:color w:val="333333"/>
          <w:sz w:val="17"/>
          <w:szCs w:val="17"/>
          <w:lang w:val="en"/>
        </w:rPr>
        <w:t>oard’s basic fee is set at a level that conforms to the market and reflects the members’ competencies and effor</w:t>
      </w:r>
      <w:r w:rsidR="009E15EE">
        <w:rPr>
          <w:color w:val="333333"/>
          <w:sz w:val="17"/>
          <w:szCs w:val="17"/>
          <w:lang w:val="en"/>
        </w:rPr>
        <w:t>ts given the complexity of the g</w:t>
      </w:r>
      <w:r w:rsidR="009E15EE" w:rsidRPr="00D426C9">
        <w:rPr>
          <w:color w:val="333333"/>
          <w:sz w:val="17"/>
          <w:szCs w:val="17"/>
          <w:lang w:val="en"/>
        </w:rPr>
        <w:t xml:space="preserve">roup, the scope of the work, and the number of board meetings. </w:t>
      </w:r>
      <w:r w:rsidR="009E15EE" w:rsidRPr="00D426C9">
        <w:rPr>
          <w:color w:val="333333"/>
          <w:sz w:val="17"/>
          <w:szCs w:val="17"/>
          <w:lang w:val="en"/>
        </w:rPr>
        <w:br/>
      </w:r>
      <w:r w:rsidR="009E15EE" w:rsidRPr="00D426C9">
        <w:rPr>
          <w:color w:val="333333"/>
          <w:sz w:val="17"/>
          <w:szCs w:val="17"/>
          <w:lang w:val="en"/>
        </w:rPr>
        <w:lastRenderedPageBreak/>
        <w:br/>
        <w:t xml:space="preserve">Board members receive a fixed basic fee, while the remuneration for the chairman is two times as big and for the vice chairman one and a half times as big. In addition, the chairman of the auditing committee receives a supplementary remuneration corresponding to one half times the annual fixed remuneration. Other members of the auditing committee will no longer receive supplementary remuneration. The </w:t>
      </w:r>
      <w:r w:rsidR="009E15EE">
        <w:rPr>
          <w:color w:val="333333"/>
          <w:sz w:val="17"/>
          <w:szCs w:val="17"/>
          <w:lang w:val="en"/>
        </w:rPr>
        <w:t>s</w:t>
      </w:r>
      <w:r w:rsidR="009E15EE" w:rsidRPr="00D426C9">
        <w:rPr>
          <w:color w:val="333333"/>
          <w:sz w:val="17"/>
          <w:szCs w:val="17"/>
          <w:lang w:val="en"/>
        </w:rPr>
        <w:t xml:space="preserve">upervisory </w:t>
      </w:r>
      <w:r w:rsidR="009E15EE">
        <w:rPr>
          <w:color w:val="333333"/>
          <w:sz w:val="17"/>
          <w:szCs w:val="17"/>
          <w:lang w:val="en"/>
        </w:rPr>
        <w:t>b</w:t>
      </w:r>
      <w:r w:rsidR="009E15EE" w:rsidRPr="00D426C9">
        <w:rPr>
          <w:color w:val="333333"/>
          <w:sz w:val="17"/>
          <w:szCs w:val="17"/>
          <w:lang w:val="en"/>
        </w:rPr>
        <w:t xml:space="preserve">oard may propose to the </w:t>
      </w:r>
      <w:r w:rsidR="009E15EE">
        <w:rPr>
          <w:color w:val="333333"/>
          <w:sz w:val="17"/>
          <w:szCs w:val="17"/>
          <w:lang w:val="en"/>
        </w:rPr>
        <w:t>s</w:t>
      </w:r>
      <w:r w:rsidR="009E15EE" w:rsidRPr="00D426C9">
        <w:rPr>
          <w:color w:val="333333"/>
          <w:sz w:val="17"/>
          <w:szCs w:val="17"/>
          <w:lang w:val="en"/>
        </w:rPr>
        <w:t xml:space="preserve">hareholders' </w:t>
      </w:r>
      <w:r w:rsidR="009E15EE">
        <w:rPr>
          <w:color w:val="333333"/>
          <w:sz w:val="17"/>
          <w:szCs w:val="17"/>
          <w:lang w:val="en"/>
        </w:rPr>
        <w:t>m</w:t>
      </w:r>
      <w:r w:rsidR="009E15EE" w:rsidRPr="00D426C9">
        <w:rPr>
          <w:color w:val="333333"/>
          <w:sz w:val="17"/>
          <w:szCs w:val="17"/>
          <w:lang w:val="en"/>
        </w:rPr>
        <w:t xml:space="preserve">eeting that one or more members of the </w:t>
      </w:r>
      <w:r w:rsidR="009E15EE">
        <w:rPr>
          <w:color w:val="333333"/>
          <w:sz w:val="17"/>
          <w:szCs w:val="17"/>
          <w:lang w:val="en"/>
        </w:rPr>
        <w:t>s</w:t>
      </w:r>
      <w:r w:rsidR="009E15EE" w:rsidRPr="00D426C9">
        <w:rPr>
          <w:color w:val="333333"/>
          <w:sz w:val="17"/>
          <w:szCs w:val="17"/>
          <w:lang w:val="en"/>
        </w:rPr>
        <w:t xml:space="preserve">upervisory </w:t>
      </w:r>
      <w:r w:rsidR="009E15EE">
        <w:rPr>
          <w:color w:val="333333"/>
          <w:sz w:val="17"/>
          <w:szCs w:val="17"/>
          <w:lang w:val="en"/>
        </w:rPr>
        <w:t>b</w:t>
      </w:r>
      <w:r w:rsidR="009E15EE" w:rsidRPr="00D426C9">
        <w:rPr>
          <w:color w:val="333333"/>
          <w:sz w:val="17"/>
          <w:szCs w:val="17"/>
          <w:lang w:val="en"/>
        </w:rPr>
        <w:t xml:space="preserve">oard shall receive an additional fee of up to twice the fixed basic fee for undertaking specific tasks. </w:t>
      </w:r>
      <w:r w:rsidR="009E15EE" w:rsidRPr="00D426C9">
        <w:rPr>
          <w:color w:val="333333"/>
          <w:sz w:val="17"/>
          <w:szCs w:val="17"/>
          <w:lang w:val="en"/>
        </w:rPr>
        <w:br/>
      </w:r>
      <w:r w:rsidR="009E15EE" w:rsidRPr="00D426C9">
        <w:rPr>
          <w:color w:val="333333"/>
          <w:sz w:val="17"/>
          <w:szCs w:val="17"/>
          <w:lang w:val="en"/>
        </w:rPr>
        <w:br/>
        <w:t xml:space="preserve">Travel and accommodation expenses, etc., in connection with board meetings and expenses associated with any relevant training are paid on submission of receipts. </w:t>
      </w:r>
      <w:r w:rsidR="009E15EE" w:rsidRPr="00D426C9">
        <w:rPr>
          <w:color w:val="333333"/>
          <w:sz w:val="17"/>
          <w:szCs w:val="17"/>
          <w:lang w:val="en"/>
        </w:rPr>
        <w:br/>
      </w:r>
      <w:r w:rsidR="009E15EE" w:rsidRPr="00D426C9">
        <w:rPr>
          <w:color w:val="333333"/>
          <w:sz w:val="17"/>
          <w:szCs w:val="17"/>
          <w:lang w:val="en"/>
        </w:rPr>
        <w:br/>
      </w:r>
      <w:r w:rsidR="009E15EE" w:rsidRPr="00D426C9">
        <w:rPr>
          <w:b/>
          <w:bCs/>
          <w:color w:val="333333"/>
          <w:sz w:val="17"/>
          <w:szCs w:val="17"/>
          <w:lang w:val="en"/>
        </w:rPr>
        <w:t xml:space="preserve">2. General principles for remuneration of Group Management </w:t>
      </w:r>
      <w:r w:rsidR="009E15EE" w:rsidRPr="00D426C9">
        <w:rPr>
          <w:color w:val="333333"/>
          <w:sz w:val="17"/>
          <w:szCs w:val="17"/>
          <w:lang w:val="en"/>
        </w:rPr>
        <w:br/>
        <w:t xml:space="preserve">The total remuneration to a member of Group Management shall be competitive in comparison with other comparable companies in Denmark and the rest of Europe. The elements of the total remuneration are put together on the basis of market practice and the Group’s specific requirements. </w:t>
      </w:r>
      <w:r w:rsidR="009E15EE" w:rsidRPr="00D426C9">
        <w:rPr>
          <w:color w:val="333333"/>
          <w:sz w:val="17"/>
          <w:szCs w:val="17"/>
          <w:lang w:val="en"/>
        </w:rPr>
        <w:br/>
      </w:r>
      <w:r w:rsidR="009E15EE" w:rsidRPr="00D426C9">
        <w:rPr>
          <w:color w:val="333333"/>
          <w:sz w:val="17"/>
          <w:szCs w:val="17"/>
          <w:lang w:val="en"/>
        </w:rPr>
        <w:br/>
        <w:t xml:space="preserve">The </w:t>
      </w:r>
      <w:r w:rsidR="009E15EE">
        <w:rPr>
          <w:color w:val="333333"/>
          <w:sz w:val="17"/>
          <w:szCs w:val="17"/>
          <w:lang w:val="en"/>
        </w:rPr>
        <w:t>s</w:t>
      </w:r>
      <w:r w:rsidR="009E15EE" w:rsidRPr="00D426C9">
        <w:rPr>
          <w:color w:val="333333"/>
          <w:sz w:val="17"/>
          <w:szCs w:val="17"/>
          <w:lang w:val="en"/>
        </w:rPr>
        <w:t xml:space="preserve">upervisory </w:t>
      </w:r>
      <w:r w:rsidR="009E15EE">
        <w:rPr>
          <w:color w:val="333333"/>
          <w:sz w:val="17"/>
          <w:szCs w:val="17"/>
          <w:lang w:val="en"/>
        </w:rPr>
        <w:t>b</w:t>
      </w:r>
      <w:r w:rsidR="009E15EE" w:rsidRPr="00D426C9">
        <w:rPr>
          <w:color w:val="333333"/>
          <w:sz w:val="17"/>
          <w:szCs w:val="17"/>
          <w:lang w:val="en"/>
        </w:rPr>
        <w:t xml:space="preserve">oard wishes to incentivize Group Management to ensure continued positive development of DLH and, as a result, good value creation for DLH’s shareholders. The </w:t>
      </w:r>
      <w:r w:rsidR="009E15EE">
        <w:rPr>
          <w:color w:val="333333"/>
          <w:sz w:val="17"/>
          <w:szCs w:val="17"/>
          <w:lang w:val="en"/>
        </w:rPr>
        <w:t>b</w:t>
      </w:r>
      <w:r w:rsidR="009E15EE" w:rsidRPr="00D426C9">
        <w:rPr>
          <w:color w:val="333333"/>
          <w:sz w:val="17"/>
          <w:szCs w:val="17"/>
          <w:lang w:val="en"/>
        </w:rPr>
        <w:t xml:space="preserve">oard considers that the best results are achieved when a relatively high proportion of the management members’ total remuneration is dependent on achievement of the management member’s individual targets and DLH’s short- and long-term targets. </w:t>
      </w:r>
      <w:r w:rsidR="009E15EE" w:rsidRPr="00D426C9">
        <w:rPr>
          <w:color w:val="333333"/>
          <w:sz w:val="17"/>
          <w:szCs w:val="17"/>
          <w:lang w:val="en"/>
        </w:rPr>
        <w:br/>
      </w:r>
      <w:r w:rsidR="009E15EE" w:rsidRPr="00D426C9">
        <w:rPr>
          <w:color w:val="333333"/>
          <w:sz w:val="17"/>
          <w:szCs w:val="17"/>
          <w:lang w:val="en"/>
        </w:rPr>
        <w:br/>
      </w:r>
      <w:r w:rsidR="009E15EE" w:rsidRPr="00D426C9">
        <w:rPr>
          <w:b/>
          <w:bCs/>
          <w:color w:val="333333"/>
          <w:sz w:val="17"/>
          <w:szCs w:val="17"/>
          <w:lang w:val="en"/>
        </w:rPr>
        <w:t xml:space="preserve">3. Total remuneration to members of Group Management </w:t>
      </w:r>
    </w:p>
    <w:p w14:paraId="4FB6F484" w14:textId="77777777" w:rsidR="009E15EE" w:rsidRDefault="009E15EE" w:rsidP="009E15EE">
      <w:pPr>
        <w:shd w:val="clear" w:color="auto" w:fill="FFFFFF"/>
        <w:spacing w:line="480" w:lineRule="auto"/>
        <w:rPr>
          <w:color w:val="333333"/>
          <w:sz w:val="17"/>
          <w:szCs w:val="17"/>
          <w:lang w:val="en"/>
        </w:rPr>
      </w:pPr>
      <w:r w:rsidRPr="00D426C9">
        <w:rPr>
          <w:color w:val="333333"/>
          <w:sz w:val="17"/>
          <w:szCs w:val="17"/>
          <w:lang w:val="en"/>
        </w:rPr>
        <w:t xml:space="preserve">The total remuneration to members of Group Management comprises: </w:t>
      </w:r>
      <w:r w:rsidRPr="00D426C9">
        <w:rPr>
          <w:color w:val="333333"/>
          <w:sz w:val="17"/>
          <w:szCs w:val="17"/>
          <w:lang w:val="en"/>
        </w:rPr>
        <w:br/>
      </w:r>
    </w:p>
    <w:p w14:paraId="38CF49EA" w14:textId="77777777" w:rsidR="009E15EE" w:rsidRDefault="009E15EE" w:rsidP="009E15EE">
      <w:pPr>
        <w:shd w:val="clear" w:color="auto" w:fill="FFFFFF"/>
        <w:spacing w:line="480" w:lineRule="auto"/>
        <w:rPr>
          <w:color w:val="333333"/>
          <w:sz w:val="17"/>
          <w:szCs w:val="17"/>
          <w:lang w:val="en"/>
        </w:rPr>
      </w:pPr>
      <w:r w:rsidRPr="00D426C9">
        <w:rPr>
          <w:color w:val="333333"/>
          <w:sz w:val="17"/>
          <w:szCs w:val="17"/>
          <w:lang w:val="en"/>
        </w:rPr>
        <w:t>(</w:t>
      </w:r>
      <w:proofErr w:type="spellStart"/>
      <w:r w:rsidRPr="00D426C9">
        <w:rPr>
          <w:color w:val="333333"/>
          <w:sz w:val="17"/>
          <w:szCs w:val="17"/>
          <w:lang w:val="en"/>
        </w:rPr>
        <w:t>i</w:t>
      </w:r>
      <w:proofErr w:type="spellEnd"/>
      <w:r w:rsidRPr="00D426C9">
        <w:rPr>
          <w:color w:val="333333"/>
          <w:sz w:val="17"/>
          <w:szCs w:val="17"/>
          <w:lang w:val="en"/>
        </w:rPr>
        <w:t xml:space="preserve">) a fixed base salary and certain other benefits in kind </w:t>
      </w:r>
      <w:r w:rsidRPr="00D426C9">
        <w:rPr>
          <w:color w:val="333333"/>
          <w:sz w:val="17"/>
          <w:szCs w:val="17"/>
          <w:lang w:val="en"/>
        </w:rPr>
        <w:br/>
        <w:t xml:space="preserve">(ii) a short-term incentive scheme (cash bonus) </w:t>
      </w:r>
      <w:r w:rsidRPr="00D426C9">
        <w:rPr>
          <w:color w:val="333333"/>
          <w:sz w:val="17"/>
          <w:szCs w:val="17"/>
          <w:lang w:val="en"/>
        </w:rPr>
        <w:br/>
        <w:t xml:space="preserve">(iii) a synthetic share-based incentive scheme for selected members of Group Management (cash bonus) </w:t>
      </w:r>
      <w:r w:rsidRPr="00D426C9">
        <w:rPr>
          <w:color w:val="333333"/>
          <w:sz w:val="17"/>
          <w:szCs w:val="17"/>
          <w:lang w:val="en"/>
        </w:rPr>
        <w:br/>
      </w:r>
      <w:r w:rsidRPr="00D426C9">
        <w:rPr>
          <w:color w:val="333333"/>
          <w:sz w:val="17"/>
          <w:szCs w:val="17"/>
          <w:lang w:val="en"/>
        </w:rPr>
        <w:lastRenderedPageBreak/>
        <w:br/>
      </w:r>
      <w:r>
        <w:rPr>
          <w:color w:val="333333"/>
          <w:sz w:val="17"/>
          <w:szCs w:val="17"/>
          <w:lang w:val="en"/>
        </w:rPr>
        <w:t>Group Management has</w:t>
      </w:r>
      <w:r w:rsidRPr="00D426C9">
        <w:rPr>
          <w:color w:val="333333"/>
          <w:sz w:val="17"/>
          <w:szCs w:val="17"/>
          <w:lang w:val="en"/>
        </w:rPr>
        <w:t xml:space="preserve"> a defined contribution pension scheme, with the pension contribution representing </w:t>
      </w:r>
      <w:r>
        <w:rPr>
          <w:color w:val="333333"/>
          <w:sz w:val="17"/>
          <w:szCs w:val="17"/>
          <w:lang w:val="en"/>
        </w:rPr>
        <w:t>9.4%</w:t>
      </w:r>
      <w:r w:rsidRPr="00D426C9">
        <w:rPr>
          <w:color w:val="333333"/>
          <w:sz w:val="17"/>
          <w:szCs w:val="17"/>
          <w:lang w:val="en"/>
        </w:rPr>
        <w:t xml:space="preserve"> of </w:t>
      </w:r>
      <w:r>
        <w:rPr>
          <w:color w:val="333333"/>
          <w:sz w:val="17"/>
          <w:szCs w:val="17"/>
          <w:lang w:val="en"/>
        </w:rPr>
        <w:t xml:space="preserve">the </w:t>
      </w:r>
      <w:r w:rsidRPr="00D426C9">
        <w:rPr>
          <w:color w:val="333333"/>
          <w:sz w:val="17"/>
          <w:szCs w:val="17"/>
          <w:lang w:val="en"/>
        </w:rPr>
        <w:t xml:space="preserve">base salary. </w:t>
      </w:r>
      <w:r w:rsidRPr="00D426C9">
        <w:rPr>
          <w:color w:val="333333"/>
          <w:sz w:val="17"/>
          <w:szCs w:val="17"/>
          <w:lang w:val="en"/>
        </w:rPr>
        <w:br/>
      </w:r>
      <w:r w:rsidRPr="00D426C9">
        <w:rPr>
          <w:color w:val="333333"/>
          <w:sz w:val="17"/>
          <w:szCs w:val="17"/>
          <w:lang w:val="en"/>
        </w:rPr>
        <w:br/>
        <w:t>Group Management ha</w:t>
      </w:r>
      <w:r>
        <w:rPr>
          <w:color w:val="333333"/>
          <w:sz w:val="17"/>
          <w:szCs w:val="17"/>
          <w:lang w:val="en"/>
        </w:rPr>
        <w:t>s</w:t>
      </w:r>
      <w:r w:rsidRPr="00D426C9">
        <w:rPr>
          <w:color w:val="333333"/>
          <w:sz w:val="17"/>
          <w:szCs w:val="17"/>
          <w:lang w:val="en"/>
        </w:rPr>
        <w:t xml:space="preserve"> a number of work-related benefits at </w:t>
      </w:r>
      <w:r>
        <w:rPr>
          <w:color w:val="333333"/>
          <w:sz w:val="17"/>
          <w:szCs w:val="17"/>
          <w:lang w:val="en"/>
        </w:rPr>
        <w:t>its</w:t>
      </w:r>
      <w:r w:rsidRPr="00D426C9">
        <w:rPr>
          <w:color w:val="333333"/>
          <w:sz w:val="17"/>
          <w:szCs w:val="17"/>
          <w:lang w:val="en"/>
        </w:rPr>
        <w:t xml:space="preserve"> disposal, for example a company car, free telephone and other benefits related to the position. The scope and level of the individual benefits are negotiated with the individual management member. </w:t>
      </w:r>
      <w:r w:rsidRPr="00D426C9">
        <w:rPr>
          <w:color w:val="333333"/>
          <w:sz w:val="17"/>
          <w:szCs w:val="17"/>
          <w:lang w:val="en"/>
        </w:rPr>
        <w:br/>
      </w:r>
      <w:r w:rsidRPr="00D426C9">
        <w:rPr>
          <w:color w:val="333333"/>
          <w:sz w:val="17"/>
          <w:szCs w:val="17"/>
          <w:lang w:val="en"/>
        </w:rPr>
        <w:br/>
        <w:t xml:space="preserve">The contract of employment for each member of Group Management also includes a termination clause that entails payment of an amount </w:t>
      </w:r>
      <w:r>
        <w:rPr>
          <w:color w:val="333333"/>
          <w:sz w:val="17"/>
          <w:szCs w:val="17"/>
          <w:lang w:val="en"/>
        </w:rPr>
        <w:t>of 12</w:t>
      </w:r>
      <w:r w:rsidRPr="00D426C9">
        <w:rPr>
          <w:color w:val="333333"/>
          <w:sz w:val="17"/>
          <w:szCs w:val="17"/>
          <w:lang w:val="en"/>
        </w:rPr>
        <w:t xml:space="preserve"> times the monthly salary (base salary and pension contributions). </w:t>
      </w:r>
    </w:p>
    <w:p w14:paraId="0353674F" w14:textId="77777777" w:rsidR="009E15EE" w:rsidRPr="00D426C9" w:rsidRDefault="009E15EE" w:rsidP="009E15EE">
      <w:pPr>
        <w:shd w:val="clear" w:color="auto" w:fill="FFFFFF"/>
        <w:spacing w:line="480" w:lineRule="auto"/>
        <w:rPr>
          <w:rFonts w:ascii="Times New Roman" w:hAnsi="Times New Roman"/>
          <w:color w:val="333333"/>
          <w:sz w:val="24"/>
          <w:lang w:val="en"/>
        </w:rPr>
      </w:pPr>
      <w:r w:rsidRPr="00D426C9">
        <w:rPr>
          <w:color w:val="333333"/>
          <w:sz w:val="17"/>
          <w:szCs w:val="17"/>
          <w:lang w:val="en"/>
        </w:rPr>
        <w:br/>
        <w:t xml:space="preserve">To ensure that the total remuneration is competitive, the </w:t>
      </w:r>
      <w:r>
        <w:rPr>
          <w:color w:val="333333"/>
          <w:sz w:val="17"/>
          <w:szCs w:val="17"/>
          <w:lang w:val="en"/>
        </w:rPr>
        <w:t>s</w:t>
      </w:r>
      <w:r w:rsidRPr="00D426C9">
        <w:rPr>
          <w:color w:val="333333"/>
          <w:sz w:val="17"/>
          <w:szCs w:val="17"/>
          <w:lang w:val="en"/>
        </w:rPr>
        <w:t xml:space="preserve">upervisory </w:t>
      </w:r>
      <w:r>
        <w:rPr>
          <w:color w:val="333333"/>
          <w:sz w:val="17"/>
          <w:szCs w:val="17"/>
          <w:lang w:val="en"/>
        </w:rPr>
        <w:t>b</w:t>
      </w:r>
      <w:r w:rsidRPr="00D426C9">
        <w:rPr>
          <w:color w:val="333333"/>
          <w:sz w:val="17"/>
          <w:szCs w:val="17"/>
          <w:lang w:val="en"/>
        </w:rPr>
        <w:t>oard has decided that the variable component (cash bonus and s</w:t>
      </w:r>
      <w:r>
        <w:rPr>
          <w:color w:val="333333"/>
          <w:sz w:val="17"/>
          <w:szCs w:val="17"/>
          <w:lang w:val="en"/>
        </w:rPr>
        <w:t>hare</w:t>
      </w:r>
      <w:r w:rsidRPr="00D426C9">
        <w:rPr>
          <w:color w:val="333333"/>
          <w:sz w:val="17"/>
          <w:szCs w:val="17"/>
          <w:lang w:val="en"/>
        </w:rPr>
        <w:t xml:space="preserve">-based remuneration) of the total remuneration should be relatively large. </w:t>
      </w:r>
      <w:r w:rsidRPr="00D426C9">
        <w:rPr>
          <w:color w:val="333333"/>
          <w:sz w:val="17"/>
          <w:szCs w:val="17"/>
          <w:lang w:val="en"/>
        </w:rPr>
        <w:br/>
      </w:r>
      <w:r w:rsidRPr="00D426C9">
        <w:rPr>
          <w:color w:val="333333"/>
          <w:sz w:val="17"/>
          <w:szCs w:val="17"/>
          <w:lang w:val="en"/>
        </w:rPr>
        <w:br/>
      </w:r>
      <w:r w:rsidRPr="00D426C9">
        <w:rPr>
          <w:b/>
          <w:bCs/>
          <w:color w:val="333333"/>
          <w:sz w:val="17"/>
          <w:szCs w:val="17"/>
          <w:lang w:val="en"/>
        </w:rPr>
        <w:t xml:space="preserve">4. Publication of the guidelines </w:t>
      </w:r>
      <w:r w:rsidRPr="00D426C9">
        <w:rPr>
          <w:b/>
          <w:bCs/>
          <w:color w:val="333333"/>
          <w:sz w:val="17"/>
          <w:szCs w:val="17"/>
          <w:lang w:val="en"/>
        </w:rPr>
        <w:br/>
      </w:r>
      <w:r w:rsidRPr="00D426C9">
        <w:rPr>
          <w:color w:val="333333"/>
          <w:sz w:val="17"/>
          <w:szCs w:val="17"/>
          <w:lang w:val="en"/>
        </w:rPr>
        <w:t xml:space="preserve">These guidelines have been approved at DLH’s </w:t>
      </w:r>
      <w:r>
        <w:rPr>
          <w:color w:val="333333"/>
          <w:sz w:val="17"/>
          <w:szCs w:val="17"/>
          <w:lang w:val="en"/>
        </w:rPr>
        <w:t>a</w:t>
      </w:r>
      <w:r w:rsidRPr="00D426C9">
        <w:rPr>
          <w:color w:val="333333"/>
          <w:sz w:val="17"/>
          <w:szCs w:val="17"/>
          <w:lang w:val="en"/>
        </w:rPr>
        <w:t xml:space="preserve">nnual </w:t>
      </w:r>
      <w:r>
        <w:rPr>
          <w:color w:val="333333"/>
          <w:sz w:val="17"/>
          <w:szCs w:val="17"/>
          <w:lang w:val="en"/>
        </w:rPr>
        <w:t>s</w:t>
      </w:r>
      <w:r w:rsidRPr="00D426C9">
        <w:rPr>
          <w:color w:val="333333"/>
          <w:sz w:val="17"/>
          <w:szCs w:val="17"/>
          <w:lang w:val="en"/>
        </w:rPr>
        <w:t xml:space="preserve">hareholders’ </w:t>
      </w:r>
      <w:r>
        <w:rPr>
          <w:color w:val="333333"/>
          <w:sz w:val="17"/>
          <w:szCs w:val="17"/>
          <w:lang w:val="en"/>
        </w:rPr>
        <w:t>m</w:t>
      </w:r>
      <w:r w:rsidRPr="00D426C9">
        <w:rPr>
          <w:color w:val="333333"/>
          <w:sz w:val="17"/>
          <w:szCs w:val="17"/>
          <w:lang w:val="en"/>
        </w:rPr>
        <w:t>eeting on April</w:t>
      </w:r>
      <w:r>
        <w:rPr>
          <w:color w:val="333333"/>
          <w:sz w:val="17"/>
          <w:szCs w:val="17"/>
          <w:lang w:val="en"/>
        </w:rPr>
        <w:t xml:space="preserve"> 12, 2012 and updated at DLH's a</w:t>
      </w:r>
      <w:r w:rsidRPr="00D426C9">
        <w:rPr>
          <w:color w:val="333333"/>
          <w:sz w:val="17"/>
          <w:szCs w:val="17"/>
          <w:lang w:val="en"/>
        </w:rPr>
        <w:t xml:space="preserve">nnual </w:t>
      </w:r>
      <w:r>
        <w:rPr>
          <w:color w:val="333333"/>
          <w:sz w:val="17"/>
          <w:szCs w:val="17"/>
          <w:lang w:val="en"/>
        </w:rPr>
        <w:t>s</w:t>
      </w:r>
      <w:r w:rsidRPr="00D426C9">
        <w:rPr>
          <w:color w:val="333333"/>
          <w:sz w:val="17"/>
          <w:szCs w:val="17"/>
          <w:lang w:val="en"/>
        </w:rPr>
        <w:t xml:space="preserve">hareholders' </w:t>
      </w:r>
      <w:r>
        <w:rPr>
          <w:color w:val="333333"/>
          <w:sz w:val="17"/>
          <w:szCs w:val="17"/>
          <w:lang w:val="en"/>
        </w:rPr>
        <w:t>m</w:t>
      </w:r>
      <w:r w:rsidRPr="00D426C9">
        <w:rPr>
          <w:color w:val="333333"/>
          <w:sz w:val="17"/>
          <w:szCs w:val="17"/>
          <w:lang w:val="en"/>
        </w:rPr>
        <w:t>eeting on April 2</w:t>
      </w:r>
      <w:r>
        <w:rPr>
          <w:color w:val="333333"/>
          <w:sz w:val="17"/>
          <w:szCs w:val="17"/>
          <w:lang w:val="en"/>
        </w:rPr>
        <w:t>8</w:t>
      </w:r>
      <w:r w:rsidRPr="00D426C9">
        <w:rPr>
          <w:color w:val="333333"/>
          <w:sz w:val="17"/>
          <w:szCs w:val="17"/>
          <w:lang w:val="en"/>
        </w:rPr>
        <w:t>, 201</w:t>
      </w:r>
      <w:r>
        <w:rPr>
          <w:color w:val="333333"/>
          <w:sz w:val="17"/>
          <w:szCs w:val="17"/>
          <w:lang w:val="en"/>
        </w:rPr>
        <w:t>7</w:t>
      </w:r>
      <w:r w:rsidRPr="00D426C9">
        <w:rPr>
          <w:color w:val="333333"/>
          <w:sz w:val="17"/>
          <w:szCs w:val="17"/>
          <w:lang w:val="en"/>
        </w:rPr>
        <w:t xml:space="preserve"> and are published on the company’s website (</w:t>
      </w:r>
      <w:r w:rsidRPr="00D426C9">
        <w:rPr>
          <w:rFonts w:ascii="Times New Roman" w:hAnsi="Times New Roman"/>
          <w:color w:val="333333"/>
          <w:sz w:val="24"/>
          <w:lang w:val="en"/>
        </w:rPr>
        <w:t xml:space="preserve"> </w:t>
      </w:r>
      <w:hyperlink r:id="rId12" w:history="1">
        <w:r w:rsidRPr="00D426C9">
          <w:rPr>
            <w:color w:val="1E5569"/>
            <w:sz w:val="17"/>
            <w:szCs w:val="17"/>
            <w:u w:val="single"/>
            <w:lang w:val="en"/>
          </w:rPr>
          <w:t>www.dlh.com</w:t>
        </w:r>
        <w:r w:rsidRPr="00D426C9">
          <w:rPr>
            <w:color w:val="333333"/>
            <w:sz w:val="17"/>
            <w:szCs w:val="17"/>
            <w:u w:val="single"/>
            <w:lang w:val="en"/>
          </w:rPr>
          <w:t xml:space="preserve"> </w:t>
        </w:r>
      </w:hyperlink>
      <w:r w:rsidRPr="00D426C9">
        <w:rPr>
          <w:color w:val="333333"/>
          <w:sz w:val="17"/>
          <w:szCs w:val="17"/>
          <w:lang w:val="en"/>
        </w:rPr>
        <w:t>) imm</w:t>
      </w:r>
      <w:r>
        <w:rPr>
          <w:color w:val="333333"/>
          <w:sz w:val="17"/>
          <w:szCs w:val="17"/>
          <w:lang w:val="en"/>
        </w:rPr>
        <w:t>ediately after approval by the s</w:t>
      </w:r>
      <w:r w:rsidRPr="00D426C9">
        <w:rPr>
          <w:color w:val="333333"/>
          <w:sz w:val="17"/>
          <w:szCs w:val="17"/>
          <w:lang w:val="en"/>
        </w:rPr>
        <w:t xml:space="preserve">hareholders' </w:t>
      </w:r>
      <w:r>
        <w:rPr>
          <w:color w:val="333333"/>
          <w:sz w:val="17"/>
          <w:szCs w:val="17"/>
          <w:lang w:val="en"/>
        </w:rPr>
        <w:t>m</w:t>
      </w:r>
      <w:r w:rsidRPr="00D426C9">
        <w:rPr>
          <w:color w:val="333333"/>
          <w:sz w:val="17"/>
          <w:szCs w:val="17"/>
          <w:lang w:val="en"/>
        </w:rPr>
        <w:t>eeting.</w:t>
      </w:r>
      <w:r w:rsidRPr="00D426C9">
        <w:rPr>
          <w:rFonts w:ascii="Times New Roman" w:hAnsi="Times New Roman"/>
          <w:color w:val="333333"/>
          <w:sz w:val="24"/>
          <w:lang w:val="en"/>
        </w:rPr>
        <w:t xml:space="preserve"> </w:t>
      </w:r>
    </w:p>
    <w:p w14:paraId="31AEF840" w14:textId="77777777" w:rsidR="009E15EE" w:rsidRPr="00D426C9" w:rsidRDefault="009E15EE" w:rsidP="009E15EE">
      <w:pPr>
        <w:rPr>
          <w:lang w:val="en"/>
        </w:rPr>
      </w:pPr>
      <w:bookmarkStart w:id="2" w:name="_GoBack"/>
      <w:bookmarkEnd w:id="2"/>
    </w:p>
    <w:sectPr w:rsidR="009E15EE" w:rsidRPr="00D426C9" w:rsidSect="00AA0D1C">
      <w:headerReference w:type="default" r:id="rId13"/>
      <w:footerReference w:type="default" r:id="rId14"/>
      <w:headerReference w:type="first" r:id="rId15"/>
      <w:footerReference w:type="first" r:id="rId16"/>
      <w:pgSz w:w="11906" w:h="16838" w:code="9"/>
      <w:pgMar w:top="1418" w:right="1588" w:bottom="1985" w:left="158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CB46" w14:textId="77777777" w:rsidR="008928A3" w:rsidRDefault="008928A3">
      <w:r>
        <w:separator/>
      </w:r>
    </w:p>
  </w:endnote>
  <w:endnote w:type="continuationSeparator" w:id="0">
    <w:p w14:paraId="1299DC06" w14:textId="77777777" w:rsidR="008928A3" w:rsidRDefault="0089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414" w:type="dxa"/>
      <w:tblInd w:w="7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4"/>
    </w:tblGrid>
    <w:tr w:rsidR="008928A3" w14:paraId="75240D64" w14:textId="77777777" w:rsidTr="00230030">
      <w:trPr>
        <w:trHeight w:val="227"/>
      </w:trPr>
      <w:tc>
        <w:tcPr>
          <w:tcW w:w="1414" w:type="dxa"/>
        </w:tcPr>
        <w:bookmarkStart w:id="3" w:name="PageNoTable"/>
        <w:p w14:paraId="75240D63" w14:textId="77777777" w:rsidR="008928A3" w:rsidRDefault="008928A3" w:rsidP="00230030">
          <w:pPr>
            <w:pStyle w:val="Sidefod"/>
            <w:jc w:val="right"/>
            <w:rPr>
              <w:sz w:val="16"/>
            </w:rPr>
          </w:pPr>
          <w:r>
            <w:rPr>
              <w:sz w:val="16"/>
            </w:rPr>
            <w:fldChar w:fldCharType="begin"/>
          </w:r>
          <w:r>
            <w:rPr>
              <w:sz w:val="16"/>
            </w:rPr>
            <w:instrText xml:space="preserve"> page </w:instrText>
          </w:r>
          <w:r>
            <w:rPr>
              <w:sz w:val="16"/>
            </w:rPr>
            <w:fldChar w:fldCharType="separate"/>
          </w:r>
          <w:r w:rsidR="009E15EE">
            <w:rPr>
              <w:sz w:val="16"/>
            </w:rPr>
            <w:t>3</w:t>
          </w:r>
          <w:r>
            <w:rPr>
              <w:sz w:val="16"/>
            </w:rPr>
            <w:fldChar w:fldCharType="end"/>
          </w:r>
        </w:p>
      </w:tc>
    </w:tr>
    <w:bookmarkEnd w:id="3"/>
  </w:tbl>
  <w:p w14:paraId="75240D65" w14:textId="77777777" w:rsidR="008928A3" w:rsidRPr="00AE70E5" w:rsidRDefault="008928A3" w:rsidP="000A3A25">
    <w:pPr>
      <w:pStyle w:val="Sidefod"/>
      <w:spacing w:after="108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D78" w14:textId="77777777" w:rsidR="008928A3" w:rsidRPr="001B64B4" w:rsidRDefault="008928A3" w:rsidP="00E17CE4">
    <w:pPr>
      <w:pStyle w:val="Sidefod"/>
      <w:spacing w:line="240" w:lineRule="auto"/>
      <w:rPr>
        <w:sz w:val="2"/>
        <w:szCs w:val="2"/>
      </w:rPr>
    </w:pPr>
    <w:r>
      <w:rPr>
        <w:sz w:val="2"/>
        <w:szCs w:val="2"/>
      </w:rPr>
      <w:drawing>
        <wp:anchor distT="0" distB="0" distL="114300" distR="114300" simplePos="0" relativeHeight="251660288" behindDoc="1" locked="1" layoutInCell="1" allowOverlap="1" wp14:anchorId="75240D85" wp14:editId="75240D86">
          <wp:simplePos x="0" y="0"/>
          <wp:positionH relativeFrom="page">
            <wp:posOffset>-431800</wp:posOffset>
          </wp:positionH>
          <wp:positionV relativeFrom="page">
            <wp:posOffset>9667240</wp:posOffset>
          </wp:positionV>
          <wp:extent cx="1159200" cy="738000"/>
          <wp:effectExtent l="0" t="0" r="0" b="0"/>
          <wp:wrapNone/>
          <wp:docPr id="35" name="FooterGraphic" descr="Nydlh_bo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raphic" descr="Nydlh_box_high" hidden="1"/>
                  <pic:cNvPicPr>
                    <a:picLocks noChangeAspect="1" noChangeArrowheads="1"/>
                  </pic:cNvPicPr>
                </pic:nvPicPr>
                <pic:blipFill>
                  <a:blip r:embed="rId1"/>
                  <a:srcRect/>
                  <a:stretch>
                    <a:fillRect/>
                  </a:stretch>
                </pic:blipFill>
                <pic:spPr bwMode="auto">
                  <a:xfrm>
                    <a:off x="0" y="0"/>
                    <a:ext cx="1159200" cy="738000"/>
                  </a:xfrm>
                  <a:prstGeom prst="rect">
                    <a:avLst/>
                  </a:prstGeom>
                  <a:noFill/>
                  <a:ln w="9525">
                    <a:noFill/>
                    <a:miter lim="800000"/>
                    <a:headEnd/>
                    <a:tailEnd/>
                  </a:ln>
                </pic:spPr>
              </pic:pic>
            </a:graphicData>
          </a:graphic>
        </wp:anchor>
      </w:drawing>
    </w:r>
  </w:p>
  <w:tbl>
    <w:tblPr>
      <w:tblStyle w:val="Tabel-Gitter"/>
      <w:tblpPr w:leftFromText="142" w:rightFromText="142" w:vertAnchor="page" w:horzAnchor="page" w:tblpX="6578" w:tblpY="14970"/>
      <w:tblOverlap w:val="never"/>
      <w:tblW w:w="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2871"/>
    </w:tblGrid>
    <w:tr w:rsidR="008928A3" w:rsidRPr="00EA286D" w14:paraId="75240D7B" w14:textId="77777777" w:rsidTr="00E969B1">
      <w:trPr>
        <w:trHeight w:hRule="exact" w:val="1474"/>
      </w:trPr>
      <w:tc>
        <w:tcPr>
          <w:tcW w:w="2142" w:type="dxa"/>
          <w:tcMar>
            <w:right w:w="454" w:type="dxa"/>
          </w:tcMar>
        </w:tcPr>
        <w:p w14:paraId="75240D79" w14:textId="77777777" w:rsidR="008928A3" w:rsidRPr="00EA286D" w:rsidRDefault="008928A3" w:rsidP="00E969B1">
          <w:pPr>
            <w:pStyle w:val="Sidefod"/>
            <w:rPr>
              <w:lang w:val="en-US"/>
            </w:rPr>
          </w:pPr>
          <w:bookmarkStart w:id="16" w:name="trlLogoFooterText"/>
          <w:bookmarkStart w:id="17" w:name="FooterTable"/>
          <w:r w:rsidRPr="00EA286D">
            <w:rPr>
              <w:lang w:val="en-US"/>
            </w:rPr>
            <w:t>We are the committed supplier of responsible timber.</w:t>
          </w:r>
          <w:bookmarkEnd w:id="16"/>
        </w:p>
      </w:tc>
      <w:tc>
        <w:tcPr>
          <w:tcW w:w="2871" w:type="dxa"/>
        </w:tcPr>
        <w:p w14:paraId="75240D7A" w14:textId="77777777" w:rsidR="008928A3" w:rsidRPr="00EA286D" w:rsidRDefault="008928A3" w:rsidP="00E969B1">
          <w:pPr>
            <w:rPr>
              <w:lang w:val="en-US"/>
            </w:rPr>
          </w:pPr>
          <w:bookmarkStart w:id="18" w:name="EnvironmentLogo"/>
          <w:bookmarkEnd w:id="18"/>
          <w:r>
            <w:rPr>
              <w:noProof/>
            </w:rPr>
            <w:drawing>
              <wp:inline distT="0" distB="0" distL="0" distR="0" wp14:anchorId="75240D87" wp14:editId="75240D88">
                <wp:extent cx="1344171" cy="900686"/>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4171" cy="900686"/>
                        </a:xfrm>
                        <a:prstGeom prst="rect">
                          <a:avLst/>
                        </a:prstGeom>
                      </pic:spPr>
                    </pic:pic>
                  </a:graphicData>
                </a:graphic>
              </wp:inline>
            </w:drawing>
          </w:r>
        </w:p>
      </w:tc>
    </w:tr>
    <w:bookmarkEnd w:id="17"/>
  </w:tbl>
  <w:p w14:paraId="75240D7C" w14:textId="77777777" w:rsidR="008928A3" w:rsidRPr="00EA286D" w:rsidRDefault="008928A3" w:rsidP="00E17CE4">
    <w:pPr>
      <w:pStyle w:val="Sidefod"/>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62A4" w14:textId="77777777" w:rsidR="008928A3" w:rsidRDefault="008928A3">
      <w:r>
        <w:separator/>
      </w:r>
    </w:p>
  </w:footnote>
  <w:footnote w:type="continuationSeparator" w:id="0">
    <w:p w14:paraId="2B1A8283" w14:textId="77777777" w:rsidR="008928A3" w:rsidRDefault="0089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8928A3" w14:paraId="75240D61" w14:textId="77777777" w:rsidTr="00652653">
      <w:trPr>
        <w:trHeight w:hRule="exact" w:val="1191"/>
      </w:trPr>
      <w:tc>
        <w:tcPr>
          <w:tcW w:w="2551" w:type="dxa"/>
        </w:tcPr>
        <w:p w14:paraId="75240D60" w14:textId="77777777" w:rsidR="008928A3" w:rsidRPr="00EA286D" w:rsidRDefault="008928A3" w:rsidP="00652653">
          <w:pPr>
            <w:pStyle w:val="Sendercompanyname"/>
            <w:framePr w:hSpace="0" w:wrap="auto" w:vAnchor="margin" w:hAnchor="text" w:xAlign="left" w:yAlign="inline"/>
            <w:ind w:left="-28"/>
            <w:suppressOverlap w:val="0"/>
            <w:rPr>
              <w:lang w:val="en-US"/>
            </w:rPr>
          </w:pPr>
          <w:r w:rsidRPr="00D01982">
            <w:rPr>
              <w:lang w:eastAsia="da-DK"/>
            </w:rPr>
            <w:drawing>
              <wp:inline distT="0" distB="0" distL="0" distR="0" wp14:anchorId="75240D7D" wp14:editId="75240D7E">
                <wp:extent cx="1257659" cy="586596"/>
                <wp:effectExtent l="19050" t="0" r="0" b="0"/>
                <wp:docPr id="31"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a:blip r:embed="rId1"/>
                        <a:srcRect b="19048"/>
                        <a:stretch>
                          <a:fillRect/>
                        </a:stretch>
                      </pic:blipFill>
                      <pic:spPr bwMode="auto">
                        <a:xfrm>
                          <a:off x="0" y="0"/>
                          <a:ext cx="1257300" cy="586105"/>
                        </a:xfrm>
                        <a:prstGeom prst="rect">
                          <a:avLst/>
                        </a:prstGeom>
                        <a:noFill/>
                        <a:ln w="9525">
                          <a:noFill/>
                          <a:miter lim="800000"/>
                          <a:headEnd/>
                          <a:tailEnd/>
                        </a:ln>
                      </pic:spPr>
                    </pic:pic>
                  </a:graphicData>
                </a:graphic>
              </wp:inline>
            </w:drawing>
          </w:r>
        </w:p>
      </w:tc>
    </w:tr>
  </w:tbl>
  <w:p w14:paraId="75240D62" w14:textId="77777777" w:rsidR="008928A3" w:rsidRDefault="008928A3" w:rsidP="00407C52">
    <w:pPr>
      <w:pStyle w:val="Sidehoved"/>
      <w:spacing w:after="1640"/>
    </w:pPr>
    <w:r>
      <w:rPr>
        <w:noProof/>
      </w:rPr>
      <w:drawing>
        <wp:anchor distT="0" distB="0" distL="114300" distR="114300" simplePos="0" relativeHeight="251669504" behindDoc="1" locked="0" layoutInCell="1" allowOverlap="1" wp14:anchorId="75240D7F" wp14:editId="75240D80">
          <wp:simplePos x="0" y="0"/>
          <wp:positionH relativeFrom="page">
            <wp:posOffset>5652770</wp:posOffset>
          </wp:positionH>
          <wp:positionV relativeFrom="page">
            <wp:posOffset>648335</wp:posOffset>
          </wp:positionV>
          <wp:extent cx="1256400" cy="586800"/>
          <wp:effectExtent l="19050" t="0" r="900" b="0"/>
          <wp:wrapNone/>
          <wp:docPr id="32" name="USLogo2"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rotWithShape="1">
                  <a:blip r:embed="rId1"/>
                  <a:srcRect b="19048"/>
                  <a:stretch/>
                </pic:blipFill>
                <pic:spPr bwMode="auto">
                  <a:xfrm>
                    <a:off x="0" y="0"/>
                    <a:ext cx="1256400" cy="586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8928A3" w14:paraId="75240D67" w14:textId="77777777" w:rsidTr="005461E6">
      <w:trPr>
        <w:trHeight w:hRule="exact" w:val="1219"/>
      </w:trPr>
      <w:tc>
        <w:tcPr>
          <w:tcW w:w="2551" w:type="dxa"/>
        </w:tcPr>
        <w:p w14:paraId="75240D66" w14:textId="77777777" w:rsidR="008928A3" w:rsidRPr="00EA286D" w:rsidRDefault="008928A3" w:rsidP="005461E6">
          <w:pPr>
            <w:pStyle w:val="Sendercompanyname"/>
            <w:framePr w:hSpace="0" w:wrap="auto" w:vAnchor="margin" w:hAnchor="text" w:xAlign="left" w:yAlign="inline"/>
            <w:ind w:left="-28"/>
            <w:suppressOverlap w:val="0"/>
            <w:rPr>
              <w:lang w:val="en-US"/>
            </w:rPr>
          </w:pPr>
          <w:r w:rsidRPr="00D01982">
            <w:rPr>
              <w:lang w:eastAsia="da-DK"/>
            </w:rPr>
            <w:drawing>
              <wp:inline distT="0" distB="0" distL="0" distR="0" wp14:anchorId="75240D81" wp14:editId="75240D82">
                <wp:extent cx="1257659" cy="586596"/>
                <wp:effectExtent l="19050" t="0" r="0" b="0"/>
                <wp:docPr id="33"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a:blip r:embed="rId1"/>
                        <a:srcRect b="19048"/>
                        <a:stretch>
                          <a:fillRect/>
                        </a:stretch>
                      </pic:blipFill>
                      <pic:spPr bwMode="auto">
                        <a:xfrm>
                          <a:off x="0" y="0"/>
                          <a:ext cx="1257300" cy="586105"/>
                        </a:xfrm>
                        <a:prstGeom prst="rect">
                          <a:avLst/>
                        </a:prstGeom>
                        <a:noFill/>
                        <a:ln w="9525">
                          <a:noFill/>
                          <a:miter lim="800000"/>
                          <a:headEnd/>
                          <a:tailEnd/>
                        </a:ln>
                      </pic:spPr>
                    </pic:pic>
                  </a:graphicData>
                </a:graphic>
              </wp:inline>
            </w:drawing>
          </w:r>
        </w:p>
      </w:tc>
    </w:tr>
    <w:tr w:rsidR="008928A3" w:rsidRPr="000469DB" w14:paraId="75240D76" w14:textId="77777777" w:rsidTr="005461E6">
      <w:tc>
        <w:tcPr>
          <w:tcW w:w="2551" w:type="dxa"/>
        </w:tcPr>
        <w:p w14:paraId="75240D68" w14:textId="77777777" w:rsidR="008928A3" w:rsidRPr="00B54E5B" w:rsidRDefault="008928A3" w:rsidP="005461E6">
          <w:pPr>
            <w:pStyle w:val="Sendercompanyname"/>
            <w:framePr w:hSpace="0" w:wrap="auto" w:vAnchor="margin" w:hAnchor="text" w:xAlign="left" w:yAlign="inline"/>
            <w:ind w:left="6"/>
            <w:suppressOverlap w:val="0"/>
          </w:pPr>
          <w:bookmarkStart w:id="4" w:name="Add_Companyname"/>
          <w:bookmarkStart w:id="5" w:name="SenderAddressTable"/>
          <w:r w:rsidRPr="00B54E5B">
            <w:t>Dalhoff Larsen &amp; Horneman A/S</w:t>
          </w:r>
          <w:bookmarkEnd w:id="4"/>
        </w:p>
        <w:p w14:paraId="75240D69" w14:textId="77777777" w:rsidR="008928A3" w:rsidRPr="00B54E5B" w:rsidRDefault="008928A3" w:rsidP="00D376A3">
          <w:pPr>
            <w:pStyle w:val="Address"/>
            <w:ind w:left="6"/>
          </w:pPr>
          <w:bookmarkStart w:id="6" w:name="Add_Addressline1"/>
          <w:r w:rsidRPr="00B54E5B">
            <w:t>Direktionen</w:t>
          </w:r>
        </w:p>
        <w:p w14:paraId="75240D6B" w14:textId="106D7EC0" w:rsidR="008928A3" w:rsidRPr="000469DB" w:rsidRDefault="008928A3" w:rsidP="005461E6">
          <w:pPr>
            <w:pStyle w:val="Address"/>
            <w:ind w:left="6"/>
          </w:pPr>
          <w:r>
            <w:t>Herlev Hovedgade 195</w:t>
          </w:r>
          <w:bookmarkEnd w:id="6"/>
        </w:p>
        <w:p w14:paraId="75240D6C" w14:textId="1D89331E" w:rsidR="008928A3" w:rsidRPr="000469DB" w:rsidRDefault="008928A3" w:rsidP="005461E6">
          <w:pPr>
            <w:pStyle w:val="Address"/>
            <w:ind w:left="6"/>
          </w:pPr>
          <w:bookmarkStart w:id="7" w:name="Add_Zipcode"/>
          <w:r w:rsidRPr="000469DB">
            <w:t>2</w:t>
          </w:r>
          <w:r>
            <w:t>73</w:t>
          </w:r>
          <w:r w:rsidRPr="000469DB">
            <w:t>0</w:t>
          </w:r>
          <w:bookmarkEnd w:id="7"/>
          <w:r w:rsidRPr="000469DB">
            <w:t xml:space="preserve"> </w:t>
          </w:r>
          <w:bookmarkStart w:id="8" w:name="trlCompFileCopenhagenSV"/>
          <w:r>
            <w:t>Herlev</w:t>
          </w:r>
          <w:bookmarkEnd w:id="8"/>
        </w:p>
        <w:p w14:paraId="75240D6D" w14:textId="77777777" w:rsidR="008928A3" w:rsidRPr="000469DB" w:rsidRDefault="008928A3" w:rsidP="005461E6">
          <w:pPr>
            <w:pStyle w:val="Address"/>
            <w:ind w:left="6"/>
          </w:pPr>
          <w:bookmarkStart w:id="9" w:name="trlCompFileDenmark"/>
          <w:r w:rsidRPr="000469DB">
            <w:t>Danmark</w:t>
          </w:r>
          <w:bookmarkEnd w:id="9"/>
        </w:p>
        <w:tbl>
          <w:tblPr>
            <w:tblW w:w="2268" w:type="dxa"/>
            <w:tblLayout w:type="fixed"/>
            <w:tblCellMar>
              <w:left w:w="0" w:type="dxa"/>
              <w:right w:w="0" w:type="dxa"/>
            </w:tblCellMar>
            <w:tblLook w:val="01E0" w:firstRow="1" w:lastRow="1" w:firstColumn="1" w:lastColumn="1" w:noHBand="0" w:noVBand="0"/>
          </w:tblPr>
          <w:tblGrid>
            <w:gridCol w:w="2268"/>
          </w:tblGrid>
          <w:tr w:rsidR="008928A3" w:rsidRPr="00043446" w14:paraId="75240D6F" w14:textId="77777777" w:rsidTr="00D376A3">
            <w:tc>
              <w:tcPr>
                <w:tcW w:w="2268" w:type="dxa"/>
              </w:tcPr>
              <w:p w14:paraId="75240D6E" w14:textId="77777777" w:rsidR="008928A3" w:rsidRPr="000469DB" w:rsidRDefault="008928A3" w:rsidP="009E15EE">
                <w:pPr>
                  <w:pStyle w:val="Address"/>
                  <w:framePr w:hSpace="142" w:wrap="around" w:vAnchor="page" w:hAnchor="page" w:x="8903" w:y="1022"/>
                  <w:tabs>
                    <w:tab w:val="left" w:pos="350"/>
                    <w:tab w:val="left" w:pos="448"/>
                    <w:tab w:val="left" w:pos="770"/>
                    <w:tab w:val="left" w:pos="993"/>
                  </w:tabs>
                  <w:suppressOverlap/>
                </w:pPr>
              </w:p>
            </w:tc>
          </w:tr>
          <w:tr w:rsidR="008928A3" w:rsidRPr="00371874" w14:paraId="75240D71" w14:textId="77777777" w:rsidTr="00D376A3">
            <w:tc>
              <w:tcPr>
                <w:tcW w:w="2268" w:type="dxa"/>
              </w:tcPr>
              <w:p w14:paraId="75240D70" w14:textId="77777777" w:rsidR="008928A3" w:rsidRPr="000469DB" w:rsidRDefault="008928A3" w:rsidP="009E15EE">
                <w:pPr>
                  <w:pStyle w:val="Address"/>
                  <w:framePr w:hSpace="142" w:wrap="around" w:vAnchor="page" w:hAnchor="page" w:x="8903" w:y="1022"/>
                  <w:tabs>
                    <w:tab w:val="left" w:pos="350"/>
                    <w:tab w:val="left" w:pos="448"/>
                    <w:tab w:val="left" w:pos="770"/>
                    <w:tab w:val="left" w:pos="980"/>
                  </w:tabs>
                  <w:suppressOverlap/>
                </w:pPr>
                <w:bookmarkStart w:id="10" w:name="trlPhone"/>
                <w:r w:rsidRPr="000469DB">
                  <w:t>TEL</w:t>
                </w:r>
                <w:bookmarkEnd w:id="10"/>
                <w:r w:rsidRPr="000469DB">
                  <w:t xml:space="preserve"> </w:t>
                </w:r>
                <w:r w:rsidRPr="000469DB">
                  <w:tab/>
                </w:r>
                <w:bookmarkStart w:id="11" w:name="PhonePrefix1"/>
                <w:r w:rsidRPr="000469DB">
                  <w:t>+45</w:t>
                </w:r>
                <w:bookmarkEnd w:id="11"/>
                <w:r w:rsidRPr="000469DB">
                  <w:t xml:space="preserve"> </w:t>
                </w:r>
                <w:bookmarkStart w:id="12" w:name="Add_Phone"/>
                <w:r w:rsidRPr="000469DB">
                  <w:t>4350 0100</w:t>
                </w:r>
                <w:bookmarkEnd w:id="12"/>
              </w:p>
            </w:tc>
          </w:tr>
        </w:tbl>
        <w:p w14:paraId="75240D72" w14:textId="77777777" w:rsidR="008928A3" w:rsidRPr="000469DB" w:rsidRDefault="008928A3" w:rsidP="005461E6">
          <w:pPr>
            <w:pStyle w:val="Address"/>
            <w:spacing w:line="200" w:lineRule="atLeast"/>
            <w:ind w:left="6"/>
          </w:pPr>
          <w:bookmarkStart w:id="13" w:name="Add_Email"/>
          <w:r w:rsidRPr="000469DB">
            <w:t>dlh@dlh-group.com</w:t>
          </w:r>
          <w:bookmarkEnd w:id="13"/>
        </w:p>
        <w:p w14:paraId="75240D73" w14:textId="77777777" w:rsidR="008928A3" w:rsidRPr="000469DB" w:rsidRDefault="008928A3" w:rsidP="005461E6">
          <w:pPr>
            <w:pStyle w:val="Address"/>
            <w:ind w:left="6"/>
          </w:pPr>
          <w:bookmarkStart w:id="14" w:name="Add_Website"/>
          <w:r w:rsidRPr="000469DB">
            <w:t>www.dlh.com</w:t>
          </w:r>
          <w:bookmarkEnd w:id="14"/>
        </w:p>
        <w:p w14:paraId="75240D74" w14:textId="12B484ED" w:rsidR="008928A3" w:rsidRPr="000469DB" w:rsidRDefault="008928A3" w:rsidP="005461E6">
          <w:pPr>
            <w:pStyle w:val="Address"/>
            <w:ind w:left="6"/>
          </w:pPr>
          <w:bookmarkStart w:id="15" w:name="Textline1"/>
          <w:r>
            <w:t>CVR</w:t>
          </w:r>
          <w:r w:rsidRPr="000469DB">
            <w:t xml:space="preserve"> 34 41 19 13</w:t>
          </w:r>
          <w:bookmarkEnd w:id="15"/>
        </w:p>
        <w:p w14:paraId="75240D75" w14:textId="77777777" w:rsidR="008928A3" w:rsidRPr="000469DB" w:rsidRDefault="008928A3" w:rsidP="00D01982">
          <w:pPr>
            <w:pStyle w:val="Address"/>
            <w:ind w:left="6"/>
          </w:pPr>
        </w:p>
      </w:tc>
    </w:tr>
  </w:tbl>
  <w:bookmarkEnd w:id="5"/>
  <w:p w14:paraId="75240D77" w14:textId="77777777" w:rsidR="008928A3" w:rsidRDefault="008928A3">
    <w:pPr>
      <w:pStyle w:val="Sidehoved"/>
    </w:pPr>
    <w:r>
      <w:rPr>
        <w:noProof/>
      </w:rPr>
      <w:drawing>
        <wp:anchor distT="0" distB="0" distL="114300" distR="114300" simplePos="0" relativeHeight="251667456" behindDoc="1" locked="0" layoutInCell="1" allowOverlap="1" wp14:anchorId="75240D83" wp14:editId="75240D84">
          <wp:simplePos x="0" y="0"/>
          <wp:positionH relativeFrom="page">
            <wp:posOffset>5652770</wp:posOffset>
          </wp:positionH>
          <wp:positionV relativeFrom="page">
            <wp:posOffset>648335</wp:posOffset>
          </wp:positionV>
          <wp:extent cx="1256400" cy="586800"/>
          <wp:effectExtent l="19050" t="0" r="900" b="0"/>
          <wp:wrapNone/>
          <wp:docPr id="34" name="USLogo1"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rotWithShape="1">
                  <a:blip r:embed="rId1"/>
                  <a:srcRect b="19048"/>
                  <a:stretch/>
                </pic:blipFill>
                <pic:spPr bwMode="auto">
                  <a:xfrm>
                    <a:off x="0" y="0"/>
                    <a:ext cx="1256400" cy="586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6C2E7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B62D0E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5C674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22671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67C732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D2FCB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2B7D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4375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2D8A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8A280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DC0D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44531C0"/>
    <w:multiLevelType w:val="hybridMultilevel"/>
    <w:tmpl w:val="C390111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4F872AE"/>
    <w:multiLevelType w:val="hybridMultilevel"/>
    <w:tmpl w:val="B80652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0808DC"/>
    <w:multiLevelType w:val="multilevel"/>
    <w:tmpl w:val="DDE41848"/>
    <w:lvl w:ilvl="0">
      <w:start w:val="1"/>
      <w:numFmt w:val="decimal"/>
      <w:pStyle w:val="Opstilmtal"/>
      <w:lvlText w:val="%1."/>
      <w:lvlJc w:val="left"/>
      <w:pPr>
        <w:tabs>
          <w:tab w:val="num" w:pos="1531"/>
        </w:tabs>
        <w:ind w:left="1531" w:hanging="567"/>
      </w:pPr>
      <w:rPr>
        <w:color w:val="auto"/>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4" w15:restartNumberingAfterBreak="0">
    <w:nsid w:val="4CDB3D6D"/>
    <w:multiLevelType w:val="hybridMultilevel"/>
    <w:tmpl w:val="6732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A17D8"/>
    <w:multiLevelType w:val="hybridMultilevel"/>
    <w:tmpl w:val="46E2A8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DF47FB9"/>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C2039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705AC3"/>
    <w:multiLevelType w:val="hybridMultilevel"/>
    <w:tmpl w:val="4B36B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6"/>
  </w:num>
  <w:num w:numId="27">
    <w:abstractNumId w:val="11"/>
  </w:num>
  <w:num w:numId="28">
    <w:abstractNumId w:val="13"/>
  </w:num>
  <w:num w:numId="29">
    <w:abstractNumId w:val="15"/>
  </w:num>
  <w:num w:numId="30">
    <w:abstractNumId w:val="14"/>
  </w:num>
  <w:num w:numId="31">
    <w:abstractNumId w:val="18"/>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2"/>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82"/>
    <w:rsid w:val="00001C13"/>
    <w:rsid w:val="000035B7"/>
    <w:rsid w:val="000056F2"/>
    <w:rsid w:val="00006B05"/>
    <w:rsid w:val="00007959"/>
    <w:rsid w:val="00011AF8"/>
    <w:rsid w:val="00012C12"/>
    <w:rsid w:val="00012F07"/>
    <w:rsid w:val="00013179"/>
    <w:rsid w:val="00014975"/>
    <w:rsid w:val="00014BBE"/>
    <w:rsid w:val="000151B3"/>
    <w:rsid w:val="00022F67"/>
    <w:rsid w:val="0002699A"/>
    <w:rsid w:val="000271C0"/>
    <w:rsid w:val="000325C0"/>
    <w:rsid w:val="000326BA"/>
    <w:rsid w:val="000353F6"/>
    <w:rsid w:val="00037264"/>
    <w:rsid w:val="000419D4"/>
    <w:rsid w:val="00043446"/>
    <w:rsid w:val="000469DB"/>
    <w:rsid w:val="00054369"/>
    <w:rsid w:val="000549B4"/>
    <w:rsid w:val="00055DCE"/>
    <w:rsid w:val="000679E1"/>
    <w:rsid w:val="00071993"/>
    <w:rsid w:val="000774F1"/>
    <w:rsid w:val="00083695"/>
    <w:rsid w:val="00084879"/>
    <w:rsid w:val="00085F47"/>
    <w:rsid w:val="00085FE3"/>
    <w:rsid w:val="0008645F"/>
    <w:rsid w:val="00090DAB"/>
    <w:rsid w:val="000978FE"/>
    <w:rsid w:val="00097A5B"/>
    <w:rsid w:val="000A3A25"/>
    <w:rsid w:val="000A538E"/>
    <w:rsid w:val="000A6F3F"/>
    <w:rsid w:val="000B0F3E"/>
    <w:rsid w:val="000C0DD3"/>
    <w:rsid w:val="000C20A9"/>
    <w:rsid w:val="000C347D"/>
    <w:rsid w:val="000C4000"/>
    <w:rsid w:val="000C4F8C"/>
    <w:rsid w:val="000C6601"/>
    <w:rsid w:val="000E1DC9"/>
    <w:rsid w:val="000E54AF"/>
    <w:rsid w:val="000F1FA2"/>
    <w:rsid w:val="000F4BB1"/>
    <w:rsid w:val="000F62B7"/>
    <w:rsid w:val="00100ACF"/>
    <w:rsid w:val="0013320E"/>
    <w:rsid w:val="00136777"/>
    <w:rsid w:val="0015116F"/>
    <w:rsid w:val="001611F5"/>
    <w:rsid w:val="00162D9F"/>
    <w:rsid w:val="001664E0"/>
    <w:rsid w:val="001668DD"/>
    <w:rsid w:val="00167FC8"/>
    <w:rsid w:val="00176976"/>
    <w:rsid w:val="0017742F"/>
    <w:rsid w:val="001810A8"/>
    <w:rsid w:val="00192410"/>
    <w:rsid w:val="00192F43"/>
    <w:rsid w:val="00193052"/>
    <w:rsid w:val="001A0FC2"/>
    <w:rsid w:val="001A29CF"/>
    <w:rsid w:val="001B048E"/>
    <w:rsid w:val="001B62D9"/>
    <w:rsid w:val="001B64B4"/>
    <w:rsid w:val="001C5103"/>
    <w:rsid w:val="001C7B4A"/>
    <w:rsid w:val="001D40E4"/>
    <w:rsid w:val="001D6F4A"/>
    <w:rsid w:val="001D7068"/>
    <w:rsid w:val="001E6B36"/>
    <w:rsid w:val="001F3269"/>
    <w:rsid w:val="001F51CB"/>
    <w:rsid w:val="001F5F7F"/>
    <w:rsid w:val="001F6D36"/>
    <w:rsid w:val="001F6F9B"/>
    <w:rsid w:val="001F7A21"/>
    <w:rsid w:val="001F7AD8"/>
    <w:rsid w:val="00203C8B"/>
    <w:rsid w:val="00211476"/>
    <w:rsid w:val="00211B69"/>
    <w:rsid w:val="00214417"/>
    <w:rsid w:val="0021547B"/>
    <w:rsid w:val="0022040B"/>
    <w:rsid w:val="00222492"/>
    <w:rsid w:val="0022308A"/>
    <w:rsid w:val="0022331B"/>
    <w:rsid w:val="00223E73"/>
    <w:rsid w:val="002244B2"/>
    <w:rsid w:val="00225856"/>
    <w:rsid w:val="00230030"/>
    <w:rsid w:val="002311DA"/>
    <w:rsid w:val="00232877"/>
    <w:rsid w:val="00235813"/>
    <w:rsid w:val="00237020"/>
    <w:rsid w:val="00237376"/>
    <w:rsid w:val="002414CE"/>
    <w:rsid w:val="00242B44"/>
    <w:rsid w:val="00244744"/>
    <w:rsid w:val="00245315"/>
    <w:rsid w:val="00247538"/>
    <w:rsid w:val="00247704"/>
    <w:rsid w:val="0025428A"/>
    <w:rsid w:val="00256360"/>
    <w:rsid w:val="00261B13"/>
    <w:rsid w:val="0026423C"/>
    <w:rsid w:val="00277224"/>
    <w:rsid w:val="00277B17"/>
    <w:rsid w:val="002815D5"/>
    <w:rsid w:val="00281D54"/>
    <w:rsid w:val="002841B0"/>
    <w:rsid w:val="00284698"/>
    <w:rsid w:val="002963CF"/>
    <w:rsid w:val="002A1AE8"/>
    <w:rsid w:val="002A3270"/>
    <w:rsid w:val="002A7888"/>
    <w:rsid w:val="002C3DB9"/>
    <w:rsid w:val="002C5D9B"/>
    <w:rsid w:val="002D1B4C"/>
    <w:rsid w:val="002D564F"/>
    <w:rsid w:val="002D585E"/>
    <w:rsid w:val="002D7A2A"/>
    <w:rsid w:val="002E0098"/>
    <w:rsid w:val="002E0426"/>
    <w:rsid w:val="002E530F"/>
    <w:rsid w:val="002F0562"/>
    <w:rsid w:val="002F1AA4"/>
    <w:rsid w:val="002F33C4"/>
    <w:rsid w:val="002F7627"/>
    <w:rsid w:val="002F7F0A"/>
    <w:rsid w:val="002F7FAE"/>
    <w:rsid w:val="00301518"/>
    <w:rsid w:val="00302AC5"/>
    <w:rsid w:val="003057C7"/>
    <w:rsid w:val="00307A2B"/>
    <w:rsid w:val="00311209"/>
    <w:rsid w:val="00311576"/>
    <w:rsid w:val="00312CD1"/>
    <w:rsid w:val="00320FF3"/>
    <w:rsid w:val="003229F1"/>
    <w:rsid w:val="0032429B"/>
    <w:rsid w:val="00325340"/>
    <w:rsid w:val="003256CF"/>
    <w:rsid w:val="00327EDF"/>
    <w:rsid w:val="003327F7"/>
    <w:rsid w:val="00342E45"/>
    <w:rsid w:val="003467B3"/>
    <w:rsid w:val="00352A0A"/>
    <w:rsid w:val="00354F3E"/>
    <w:rsid w:val="00357627"/>
    <w:rsid w:val="00360F88"/>
    <w:rsid w:val="00366CFE"/>
    <w:rsid w:val="00367031"/>
    <w:rsid w:val="00371874"/>
    <w:rsid w:val="00372814"/>
    <w:rsid w:val="003758E9"/>
    <w:rsid w:val="003777C8"/>
    <w:rsid w:val="00380002"/>
    <w:rsid w:val="00380957"/>
    <w:rsid w:val="00382305"/>
    <w:rsid w:val="00385718"/>
    <w:rsid w:val="003911BC"/>
    <w:rsid w:val="0039139A"/>
    <w:rsid w:val="003936EF"/>
    <w:rsid w:val="00396583"/>
    <w:rsid w:val="0039721C"/>
    <w:rsid w:val="003A09E4"/>
    <w:rsid w:val="003A31C1"/>
    <w:rsid w:val="003A4013"/>
    <w:rsid w:val="003A41B6"/>
    <w:rsid w:val="003A709E"/>
    <w:rsid w:val="003A7306"/>
    <w:rsid w:val="003B57CA"/>
    <w:rsid w:val="003B5B23"/>
    <w:rsid w:val="003B6E29"/>
    <w:rsid w:val="003B7C09"/>
    <w:rsid w:val="003C081D"/>
    <w:rsid w:val="003C49BD"/>
    <w:rsid w:val="003C509E"/>
    <w:rsid w:val="003D0991"/>
    <w:rsid w:val="003D0ED8"/>
    <w:rsid w:val="003D1141"/>
    <w:rsid w:val="003D1AB2"/>
    <w:rsid w:val="003D4152"/>
    <w:rsid w:val="003D4624"/>
    <w:rsid w:val="003E161B"/>
    <w:rsid w:val="003F158B"/>
    <w:rsid w:val="003F6799"/>
    <w:rsid w:val="003F7FD9"/>
    <w:rsid w:val="0040614A"/>
    <w:rsid w:val="00407C52"/>
    <w:rsid w:val="00414036"/>
    <w:rsid w:val="0042001A"/>
    <w:rsid w:val="0042393A"/>
    <w:rsid w:val="00433E89"/>
    <w:rsid w:val="00434AEE"/>
    <w:rsid w:val="004364C9"/>
    <w:rsid w:val="00436A27"/>
    <w:rsid w:val="00440452"/>
    <w:rsid w:val="00441C08"/>
    <w:rsid w:val="00444EA2"/>
    <w:rsid w:val="00444F65"/>
    <w:rsid w:val="00445F49"/>
    <w:rsid w:val="00453C82"/>
    <w:rsid w:val="004612E6"/>
    <w:rsid w:val="00462A77"/>
    <w:rsid w:val="00465817"/>
    <w:rsid w:val="004712BD"/>
    <w:rsid w:val="0047163B"/>
    <w:rsid w:val="0047164B"/>
    <w:rsid w:val="004728C6"/>
    <w:rsid w:val="00473FAE"/>
    <w:rsid w:val="00480D9F"/>
    <w:rsid w:val="004845A6"/>
    <w:rsid w:val="004872EB"/>
    <w:rsid w:val="00491A21"/>
    <w:rsid w:val="00491C7B"/>
    <w:rsid w:val="004972C1"/>
    <w:rsid w:val="004975C1"/>
    <w:rsid w:val="004A1D52"/>
    <w:rsid w:val="004A587A"/>
    <w:rsid w:val="004A6071"/>
    <w:rsid w:val="004A6269"/>
    <w:rsid w:val="004B4C57"/>
    <w:rsid w:val="004B518F"/>
    <w:rsid w:val="004C049E"/>
    <w:rsid w:val="004C57B2"/>
    <w:rsid w:val="004D4F16"/>
    <w:rsid w:val="004E06CE"/>
    <w:rsid w:val="004E2373"/>
    <w:rsid w:val="004E2641"/>
    <w:rsid w:val="004E5650"/>
    <w:rsid w:val="004E5E20"/>
    <w:rsid w:val="004E730F"/>
    <w:rsid w:val="00502186"/>
    <w:rsid w:val="00506C66"/>
    <w:rsid w:val="005119E3"/>
    <w:rsid w:val="005132FB"/>
    <w:rsid w:val="005165A5"/>
    <w:rsid w:val="00517BE0"/>
    <w:rsid w:val="0052047F"/>
    <w:rsid w:val="00520DA2"/>
    <w:rsid w:val="00522B79"/>
    <w:rsid w:val="00523615"/>
    <w:rsid w:val="00527636"/>
    <w:rsid w:val="00536D42"/>
    <w:rsid w:val="0053776A"/>
    <w:rsid w:val="0054496F"/>
    <w:rsid w:val="005461E6"/>
    <w:rsid w:val="00550307"/>
    <w:rsid w:val="00550E0D"/>
    <w:rsid w:val="0055369E"/>
    <w:rsid w:val="00553AD5"/>
    <w:rsid w:val="00556064"/>
    <w:rsid w:val="0055719F"/>
    <w:rsid w:val="00564C4A"/>
    <w:rsid w:val="00571F8D"/>
    <w:rsid w:val="00583CD4"/>
    <w:rsid w:val="0058592D"/>
    <w:rsid w:val="00591920"/>
    <w:rsid w:val="005A42D9"/>
    <w:rsid w:val="005A44EE"/>
    <w:rsid w:val="005B2821"/>
    <w:rsid w:val="005B5797"/>
    <w:rsid w:val="005B5CDF"/>
    <w:rsid w:val="005B74ED"/>
    <w:rsid w:val="005D3FE7"/>
    <w:rsid w:val="005D451C"/>
    <w:rsid w:val="005D6340"/>
    <w:rsid w:val="005E1A90"/>
    <w:rsid w:val="005E4F3C"/>
    <w:rsid w:val="005F12E1"/>
    <w:rsid w:val="005F3931"/>
    <w:rsid w:val="00604BD2"/>
    <w:rsid w:val="006118B7"/>
    <w:rsid w:val="006124E7"/>
    <w:rsid w:val="00615832"/>
    <w:rsid w:val="00622896"/>
    <w:rsid w:val="0062798E"/>
    <w:rsid w:val="00632B52"/>
    <w:rsid w:val="00633806"/>
    <w:rsid w:val="006406C0"/>
    <w:rsid w:val="00651F41"/>
    <w:rsid w:val="00652653"/>
    <w:rsid w:val="00653002"/>
    <w:rsid w:val="006537C4"/>
    <w:rsid w:val="006546F2"/>
    <w:rsid w:val="006549F8"/>
    <w:rsid w:val="00656C69"/>
    <w:rsid w:val="006572DA"/>
    <w:rsid w:val="00657A94"/>
    <w:rsid w:val="00660D45"/>
    <w:rsid w:val="006712BC"/>
    <w:rsid w:val="006872B0"/>
    <w:rsid w:val="00690C28"/>
    <w:rsid w:val="00691D40"/>
    <w:rsid w:val="006A0AC3"/>
    <w:rsid w:val="006A1C8E"/>
    <w:rsid w:val="006A2D0D"/>
    <w:rsid w:val="006C17F5"/>
    <w:rsid w:val="006C423D"/>
    <w:rsid w:val="006C60A3"/>
    <w:rsid w:val="006D153E"/>
    <w:rsid w:val="006D16CA"/>
    <w:rsid w:val="006D2950"/>
    <w:rsid w:val="006D2C4B"/>
    <w:rsid w:val="006D3BA1"/>
    <w:rsid w:val="006D4456"/>
    <w:rsid w:val="006D47CC"/>
    <w:rsid w:val="006E07CE"/>
    <w:rsid w:val="006E15AB"/>
    <w:rsid w:val="006E24EF"/>
    <w:rsid w:val="006E3BDD"/>
    <w:rsid w:val="006F0C47"/>
    <w:rsid w:val="006F17AD"/>
    <w:rsid w:val="00700A3A"/>
    <w:rsid w:val="00702332"/>
    <w:rsid w:val="0070506D"/>
    <w:rsid w:val="00706393"/>
    <w:rsid w:val="00707293"/>
    <w:rsid w:val="007141DB"/>
    <w:rsid w:val="00715915"/>
    <w:rsid w:val="00717447"/>
    <w:rsid w:val="0072247A"/>
    <w:rsid w:val="00734C9F"/>
    <w:rsid w:val="00736194"/>
    <w:rsid w:val="0074028E"/>
    <w:rsid w:val="007408A4"/>
    <w:rsid w:val="00744D5D"/>
    <w:rsid w:val="0075067E"/>
    <w:rsid w:val="00750748"/>
    <w:rsid w:val="0075207B"/>
    <w:rsid w:val="0075316E"/>
    <w:rsid w:val="007564A3"/>
    <w:rsid w:val="007574E3"/>
    <w:rsid w:val="007625C5"/>
    <w:rsid w:val="00764D84"/>
    <w:rsid w:val="0077256A"/>
    <w:rsid w:val="00773D80"/>
    <w:rsid w:val="00775414"/>
    <w:rsid w:val="007773D1"/>
    <w:rsid w:val="00781EA6"/>
    <w:rsid w:val="00783252"/>
    <w:rsid w:val="00785C17"/>
    <w:rsid w:val="00787909"/>
    <w:rsid w:val="00794656"/>
    <w:rsid w:val="007967CA"/>
    <w:rsid w:val="007A0B26"/>
    <w:rsid w:val="007A60B5"/>
    <w:rsid w:val="007B05F8"/>
    <w:rsid w:val="007B1EC8"/>
    <w:rsid w:val="007B546D"/>
    <w:rsid w:val="007B72E8"/>
    <w:rsid w:val="007C4838"/>
    <w:rsid w:val="007C7106"/>
    <w:rsid w:val="007D110D"/>
    <w:rsid w:val="007D428A"/>
    <w:rsid w:val="007D709B"/>
    <w:rsid w:val="007D7682"/>
    <w:rsid w:val="007E082C"/>
    <w:rsid w:val="007E1DD5"/>
    <w:rsid w:val="007F2F7A"/>
    <w:rsid w:val="007F5D2B"/>
    <w:rsid w:val="007F6545"/>
    <w:rsid w:val="00801AB9"/>
    <w:rsid w:val="008037F6"/>
    <w:rsid w:val="00811B23"/>
    <w:rsid w:val="0081410B"/>
    <w:rsid w:val="00816509"/>
    <w:rsid w:val="00823DEC"/>
    <w:rsid w:val="00825D8E"/>
    <w:rsid w:val="008265E7"/>
    <w:rsid w:val="00836808"/>
    <w:rsid w:val="00836DE5"/>
    <w:rsid w:val="008417DB"/>
    <w:rsid w:val="00845CF1"/>
    <w:rsid w:val="00847316"/>
    <w:rsid w:val="00850D5F"/>
    <w:rsid w:val="008724C9"/>
    <w:rsid w:val="0087443F"/>
    <w:rsid w:val="00874F20"/>
    <w:rsid w:val="00887D13"/>
    <w:rsid w:val="00891FCF"/>
    <w:rsid w:val="008928A3"/>
    <w:rsid w:val="008950FA"/>
    <w:rsid w:val="00895F85"/>
    <w:rsid w:val="008A49D6"/>
    <w:rsid w:val="008A4F97"/>
    <w:rsid w:val="008B534F"/>
    <w:rsid w:val="008C0DA6"/>
    <w:rsid w:val="008C1C6C"/>
    <w:rsid w:val="008C5C87"/>
    <w:rsid w:val="008D0AEE"/>
    <w:rsid w:val="008D6E8D"/>
    <w:rsid w:val="008E0E94"/>
    <w:rsid w:val="008E246E"/>
    <w:rsid w:val="008E24F2"/>
    <w:rsid w:val="008E41D8"/>
    <w:rsid w:val="008F2A45"/>
    <w:rsid w:val="008F491D"/>
    <w:rsid w:val="00914018"/>
    <w:rsid w:val="00920B7D"/>
    <w:rsid w:val="0092338F"/>
    <w:rsid w:val="0092529C"/>
    <w:rsid w:val="00926ED2"/>
    <w:rsid w:val="00930E89"/>
    <w:rsid w:val="00931CC0"/>
    <w:rsid w:val="00941255"/>
    <w:rsid w:val="00944ACA"/>
    <w:rsid w:val="00944FED"/>
    <w:rsid w:val="00945801"/>
    <w:rsid w:val="00947A47"/>
    <w:rsid w:val="00950CB7"/>
    <w:rsid w:val="00951244"/>
    <w:rsid w:val="0095130D"/>
    <w:rsid w:val="009636E9"/>
    <w:rsid w:val="00966606"/>
    <w:rsid w:val="00967F36"/>
    <w:rsid w:val="00972190"/>
    <w:rsid w:val="0097227B"/>
    <w:rsid w:val="00972950"/>
    <w:rsid w:val="00974883"/>
    <w:rsid w:val="00987967"/>
    <w:rsid w:val="009A4408"/>
    <w:rsid w:val="009A5139"/>
    <w:rsid w:val="009B2F79"/>
    <w:rsid w:val="009B536E"/>
    <w:rsid w:val="009B5875"/>
    <w:rsid w:val="009B652C"/>
    <w:rsid w:val="009B6938"/>
    <w:rsid w:val="009B6AA0"/>
    <w:rsid w:val="009B6BED"/>
    <w:rsid w:val="009C2494"/>
    <w:rsid w:val="009C592B"/>
    <w:rsid w:val="009D03E6"/>
    <w:rsid w:val="009D18DA"/>
    <w:rsid w:val="009D1D55"/>
    <w:rsid w:val="009D2615"/>
    <w:rsid w:val="009D29E1"/>
    <w:rsid w:val="009D4089"/>
    <w:rsid w:val="009D48A7"/>
    <w:rsid w:val="009E09E3"/>
    <w:rsid w:val="009E15EE"/>
    <w:rsid w:val="009E707B"/>
    <w:rsid w:val="009E782D"/>
    <w:rsid w:val="009F38FE"/>
    <w:rsid w:val="009F7900"/>
    <w:rsid w:val="00A06E9E"/>
    <w:rsid w:val="00A1249B"/>
    <w:rsid w:val="00A12892"/>
    <w:rsid w:val="00A1289A"/>
    <w:rsid w:val="00A14620"/>
    <w:rsid w:val="00A17075"/>
    <w:rsid w:val="00A21152"/>
    <w:rsid w:val="00A26B97"/>
    <w:rsid w:val="00A27077"/>
    <w:rsid w:val="00A3444E"/>
    <w:rsid w:val="00A36AD2"/>
    <w:rsid w:val="00A36B3F"/>
    <w:rsid w:val="00A37E1C"/>
    <w:rsid w:val="00A51F17"/>
    <w:rsid w:val="00A53107"/>
    <w:rsid w:val="00A61720"/>
    <w:rsid w:val="00A61D5D"/>
    <w:rsid w:val="00A70BFD"/>
    <w:rsid w:val="00A73D59"/>
    <w:rsid w:val="00A73D8F"/>
    <w:rsid w:val="00A74FA0"/>
    <w:rsid w:val="00A754A5"/>
    <w:rsid w:val="00A80ED4"/>
    <w:rsid w:val="00A827F0"/>
    <w:rsid w:val="00A84E9A"/>
    <w:rsid w:val="00A932DB"/>
    <w:rsid w:val="00A94DB5"/>
    <w:rsid w:val="00AA0D1C"/>
    <w:rsid w:val="00AA3AD1"/>
    <w:rsid w:val="00AA643C"/>
    <w:rsid w:val="00AA7276"/>
    <w:rsid w:val="00AA7541"/>
    <w:rsid w:val="00AB3DD6"/>
    <w:rsid w:val="00AB7ACF"/>
    <w:rsid w:val="00AC2237"/>
    <w:rsid w:val="00AC7A36"/>
    <w:rsid w:val="00AC7D91"/>
    <w:rsid w:val="00AD6CB1"/>
    <w:rsid w:val="00AE5B4C"/>
    <w:rsid w:val="00AE6ABB"/>
    <w:rsid w:val="00AE7022"/>
    <w:rsid w:val="00AE70E5"/>
    <w:rsid w:val="00AF1062"/>
    <w:rsid w:val="00AF2E84"/>
    <w:rsid w:val="00AF2F22"/>
    <w:rsid w:val="00AF4969"/>
    <w:rsid w:val="00AF6925"/>
    <w:rsid w:val="00B019DE"/>
    <w:rsid w:val="00B030AB"/>
    <w:rsid w:val="00B04CF9"/>
    <w:rsid w:val="00B166E7"/>
    <w:rsid w:val="00B2284A"/>
    <w:rsid w:val="00B27342"/>
    <w:rsid w:val="00B27BA7"/>
    <w:rsid w:val="00B30965"/>
    <w:rsid w:val="00B31A3C"/>
    <w:rsid w:val="00B35622"/>
    <w:rsid w:val="00B371FC"/>
    <w:rsid w:val="00B37E8A"/>
    <w:rsid w:val="00B456A6"/>
    <w:rsid w:val="00B506DC"/>
    <w:rsid w:val="00B54E5B"/>
    <w:rsid w:val="00B5780B"/>
    <w:rsid w:val="00B57E48"/>
    <w:rsid w:val="00B60589"/>
    <w:rsid w:val="00B62EC3"/>
    <w:rsid w:val="00B63B00"/>
    <w:rsid w:val="00B63D04"/>
    <w:rsid w:val="00B64691"/>
    <w:rsid w:val="00B667EE"/>
    <w:rsid w:val="00B7155E"/>
    <w:rsid w:val="00B80B88"/>
    <w:rsid w:val="00B82FD1"/>
    <w:rsid w:val="00B83280"/>
    <w:rsid w:val="00B87727"/>
    <w:rsid w:val="00B87E8B"/>
    <w:rsid w:val="00B900E2"/>
    <w:rsid w:val="00B90442"/>
    <w:rsid w:val="00B94BD8"/>
    <w:rsid w:val="00BA32A8"/>
    <w:rsid w:val="00BA352C"/>
    <w:rsid w:val="00BA4EBE"/>
    <w:rsid w:val="00BA5F61"/>
    <w:rsid w:val="00BA65B7"/>
    <w:rsid w:val="00BA7C6E"/>
    <w:rsid w:val="00BB0A5F"/>
    <w:rsid w:val="00BB1616"/>
    <w:rsid w:val="00BB35D4"/>
    <w:rsid w:val="00BB551F"/>
    <w:rsid w:val="00BB7497"/>
    <w:rsid w:val="00BB7619"/>
    <w:rsid w:val="00BC11A0"/>
    <w:rsid w:val="00BC4D58"/>
    <w:rsid w:val="00BC6AAD"/>
    <w:rsid w:val="00BD3C21"/>
    <w:rsid w:val="00BE309B"/>
    <w:rsid w:val="00BE4116"/>
    <w:rsid w:val="00BE42C5"/>
    <w:rsid w:val="00BE548F"/>
    <w:rsid w:val="00BF122C"/>
    <w:rsid w:val="00BF3061"/>
    <w:rsid w:val="00BF3BF6"/>
    <w:rsid w:val="00BF562B"/>
    <w:rsid w:val="00BF7885"/>
    <w:rsid w:val="00C03BCC"/>
    <w:rsid w:val="00C15C67"/>
    <w:rsid w:val="00C16E27"/>
    <w:rsid w:val="00C233B0"/>
    <w:rsid w:val="00C301AD"/>
    <w:rsid w:val="00C344E0"/>
    <w:rsid w:val="00C405FA"/>
    <w:rsid w:val="00C40908"/>
    <w:rsid w:val="00C45FC9"/>
    <w:rsid w:val="00C46658"/>
    <w:rsid w:val="00C50447"/>
    <w:rsid w:val="00C51760"/>
    <w:rsid w:val="00C52CA9"/>
    <w:rsid w:val="00C530AA"/>
    <w:rsid w:val="00C54539"/>
    <w:rsid w:val="00C57E79"/>
    <w:rsid w:val="00C647DB"/>
    <w:rsid w:val="00C65394"/>
    <w:rsid w:val="00C65526"/>
    <w:rsid w:val="00C707EF"/>
    <w:rsid w:val="00C8147E"/>
    <w:rsid w:val="00C815C1"/>
    <w:rsid w:val="00C8575F"/>
    <w:rsid w:val="00C91D9E"/>
    <w:rsid w:val="00C91F95"/>
    <w:rsid w:val="00CA7086"/>
    <w:rsid w:val="00CB1509"/>
    <w:rsid w:val="00CB2779"/>
    <w:rsid w:val="00CB7355"/>
    <w:rsid w:val="00CC2677"/>
    <w:rsid w:val="00CC352C"/>
    <w:rsid w:val="00CC3D05"/>
    <w:rsid w:val="00CC5F65"/>
    <w:rsid w:val="00CC700D"/>
    <w:rsid w:val="00CC731E"/>
    <w:rsid w:val="00CC786F"/>
    <w:rsid w:val="00CD1B26"/>
    <w:rsid w:val="00CD45C1"/>
    <w:rsid w:val="00CD54A1"/>
    <w:rsid w:val="00CE040D"/>
    <w:rsid w:val="00CE38C8"/>
    <w:rsid w:val="00CE3E9C"/>
    <w:rsid w:val="00CF4E6E"/>
    <w:rsid w:val="00CF7608"/>
    <w:rsid w:val="00D01982"/>
    <w:rsid w:val="00D030EA"/>
    <w:rsid w:val="00D04BFA"/>
    <w:rsid w:val="00D0532C"/>
    <w:rsid w:val="00D077CC"/>
    <w:rsid w:val="00D12B9E"/>
    <w:rsid w:val="00D1368A"/>
    <w:rsid w:val="00D15489"/>
    <w:rsid w:val="00D15AE9"/>
    <w:rsid w:val="00D20BF7"/>
    <w:rsid w:val="00D27596"/>
    <w:rsid w:val="00D36DC6"/>
    <w:rsid w:val="00D376A3"/>
    <w:rsid w:val="00D50628"/>
    <w:rsid w:val="00D53585"/>
    <w:rsid w:val="00D61752"/>
    <w:rsid w:val="00D62E77"/>
    <w:rsid w:val="00D66AE2"/>
    <w:rsid w:val="00D671B2"/>
    <w:rsid w:val="00D702E3"/>
    <w:rsid w:val="00D75864"/>
    <w:rsid w:val="00D75D55"/>
    <w:rsid w:val="00D7651A"/>
    <w:rsid w:val="00D7694B"/>
    <w:rsid w:val="00D77CF2"/>
    <w:rsid w:val="00DA5B5A"/>
    <w:rsid w:val="00DA7A35"/>
    <w:rsid w:val="00DB401F"/>
    <w:rsid w:val="00DB4DB2"/>
    <w:rsid w:val="00DB6FDC"/>
    <w:rsid w:val="00DB7558"/>
    <w:rsid w:val="00DC4E1A"/>
    <w:rsid w:val="00DC6560"/>
    <w:rsid w:val="00DC658A"/>
    <w:rsid w:val="00DC65F6"/>
    <w:rsid w:val="00DD39E1"/>
    <w:rsid w:val="00DE1A6F"/>
    <w:rsid w:val="00DE36B1"/>
    <w:rsid w:val="00DE3E6D"/>
    <w:rsid w:val="00DF38DE"/>
    <w:rsid w:val="00DF666C"/>
    <w:rsid w:val="00E001D0"/>
    <w:rsid w:val="00E024C4"/>
    <w:rsid w:val="00E02719"/>
    <w:rsid w:val="00E06403"/>
    <w:rsid w:val="00E148F7"/>
    <w:rsid w:val="00E17CE4"/>
    <w:rsid w:val="00E20750"/>
    <w:rsid w:val="00E21B71"/>
    <w:rsid w:val="00E45CFD"/>
    <w:rsid w:val="00E46F87"/>
    <w:rsid w:val="00E471FE"/>
    <w:rsid w:val="00E56606"/>
    <w:rsid w:val="00E6039C"/>
    <w:rsid w:val="00E60C36"/>
    <w:rsid w:val="00E628FD"/>
    <w:rsid w:val="00E64080"/>
    <w:rsid w:val="00E66CB5"/>
    <w:rsid w:val="00E6757F"/>
    <w:rsid w:val="00E728D9"/>
    <w:rsid w:val="00E75054"/>
    <w:rsid w:val="00E81A39"/>
    <w:rsid w:val="00E827B1"/>
    <w:rsid w:val="00E90C8A"/>
    <w:rsid w:val="00E90DCA"/>
    <w:rsid w:val="00E92451"/>
    <w:rsid w:val="00E936EE"/>
    <w:rsid w:val="00E96006"/>
    <w:rsid w:val="00E96063"/>
    <w:rsid w:val="00E969B1"/>
    <w:rsid w:val="00EA2629"/>
    <w:rsid w:val="00EA286D"/>
    <w:rsid w:val="00EA2AAC"/>
    <w:rsid w:val="00EA46EE"/>
    <w:rsid w:val="00EA6A41"/>
    <w:rsid w:val="00EA7972"/>
    <w:rsid w:val="00EB13A8"/>
    <w:rsid w:val="00EB4175"/>
    <w:rsid w:val="00EB4B19"/>
    <w:rsid w:val="00EC114D"/>
    <w:rsid w:val="00EC42CC"/>
    <w:rsid w:val="00EC76D7"/>
    <w:rsid w:val="00ED0F5F"/>
    <w:rsid w:val="00ED2810"/>
    <w:rsid w:val="00ED5279"/>
    <w:rsid w:val="00ED5845"/>
    <w:rsid w:val="00ED7050"/>
    <w:rsid w:val="00EE13F7"/>
    <w:rsid w:val="00EE1475"/>
    <w:rsid w:val="00EE21FD"/>
    <w:rsid w:val="00EE7FE5"/>
    <w:rsid w:val="00EF50D8"/>
    <w:rsid w:val="00F00022"/>
    <w:rsid w:val="00F00494"/>
    <w:rsid w:val="00F02634"/>
    <w:rsid w:val="00F04A49"/>
    <w:rsid w:val="00F11E63"/>
    <w:rsid w:val="00F12171"/>
    <w:rsid w:val="00F15D29"/>
    <w:rsid w:val="00F22239"/>
    <w:rsid w:val="00F3034A"/>
    <w:rsid w:val="00F3312D"/>
    <w:rsid w:val="00F33FDA"/>
    <w:rsid w:val="00F35F54"/>
    <w:rsid w:val="00F4338B"/>
    <w:rsid w:val="00F45E15"/>
    <w:rsid w:val="00F45E67"/>
    <w:rsid w:val="00F50E47"/>
    <w:rsid w:val="00F52F10"/>
    <w:rsid w:val="00F53234"/>
    <w:rsid w:val="00F54621"/>
    <w:rsid w:val="00F6439F"/>
    <w:rsid w:val="00F64A70"/>
    <w:rsid w:val="00F745BB"/>
    <w:rsid w:val="00F808A1"/>
    <w:rsid w:val="00FA2443"/>
    <w:rsid w:val="00FA4EB5"/>
    <w:rsid w:val="00FA7C1A"/>
    <w:rsid w:val="00FB460A"/>
    <w:rsid w:val="00FB5D34"/>
    <w:rsid w:val="00FC0087"/>
    <w:rsid w:val="00FC4BDE"/>
    <w:rsid w:val="00FC5921"/>
    <w:rsid w:val="00FC73A3"/>
    <w:rsid w:val="00FD0926"/>
    <w:rsid w:val="00FD0A02"/>
    <w:rsid w:val="00FD604F"/>
    <w:rsid w:val="00FD6ABB"/>
    <w:rsid w:val="00FE0F10"/>
    <w:rsid w:val="00FE32BA"/>
    <w:rsid w:val="00FE57AB"/>
    <w:rsid w:val="00FF03A7"/>
    <w:rsid w:val="00FF0652"/>
    <w:rsid w:val="00FF090F"/>
    <w:rsid w:val="00FF2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240CEA"/>
  <w15:docId w15:val="{68180099-72BF-47A6-91F4-2EA232C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42"/>
    <w:pPr>
      <w:spacing w:line="240" w:lineRule="atLeast"/>
    </w:pPr>
    <w:rPr>
      <w:rFonts w:ascii="Verdana" w:hAnsi="Verdana"/>
      <w:sz w:val="18"/>
      <w:szCs w:val="24"/>
    </w:rPr>
  </w:style>
  <w:style w:type="paragraph" w:styleId="Overskrift1">
    <w:name w:val="heading 1"/>
    <w:basedOn w:val="Normal"/>
    <w:next w:val="Normal"/>
    <w:qFormat/>
    <w:rsid w:val="00D077CC"/>
    <w:pPr>
      <w:keepNext/>
      <w:spacing w:after="240"/>
      <w:outlineLvl w:val="0"/>
    </w:pPr>
    <w:rPr>
      <w:rFonts w:cs="Arial"/>
      <w:b/>
      <w:bCs/>
      <w:kern w:val="32"/>
      <w:szCs w:val="32"/>
    </w:rPr>
  </w:style>
  <w:style w:type="paragraph" w:styleId="Overskrift2">
    <w:name w:val="heading 2"/>
    <w:basedOn w:val="Normal"/>
    <w:next w:val="Normal"/>
    <w:semiHidden/>
    <w:rsid w:val="0055369E"/>
    <w:pPr>
      <w:keepNext/>
      <w:spacing w:before="240" w:after="60"/>
      <w:outlineLvl w:val="1"/>
    </w:pPr>
    <w:rPr>
      <w:rFonts w:ascii="Arial" w:hAnsi="Arial" w:cs="Arial"/>
      <w:b/>
      <w:bCs/>
      <w:i/>
      <w:iCs/>
      <w:sz w:val="28"/>
      <w:szCs w:val="28"/>
    </w:rPr>
  </w:style>
  <w:style w:type="paragraph" w:styleId="Overskrift3">
    <w:name w:val="heading 3"/>
    <w:basedOn w:val="Normal"/>
    <w:next w:val="Normal"/>
    <w:semiHidden/>
    <w:rsid w:val="0055369E"/>
    <w:pPr>
      <w:keepNext/>
      <w:spacing w:before="240" w:after="60"/>
      <w:outlineLvl w:val="2"/>
    </w:pPr>
    <w:rPr>
      <w:rFonts w:ascii="Arial" w:hAnsi="Arial" w:cs="Arial"/>
      <w:b/>
      <w:bCs/>
      <w:sz w:val="26"/>
      <w:szCs w:val="26"/>
    </w:rPr>
  </w:style>
  <w:style w:type="paragraph" w:styleId="Overskrift4">
    <w:name w:val="heading 4"/>
    <w:basedOn w:val="Normal"/>
    <w:next w:val="Normal"/>
    <w:semiHidden/>
    <w:rsid w:val="0055369E"/>
    <w:pPr>
      <w:keepNext/>
      <w:spacing w:before="240" w:after="60"/>
      <w:outlineLvl w:val="3"/>
    </w:pPr>
    <w:rPr>
      <w:rFonts w:ascii="Times New Roman" w:hAnsi="Times New Roman"/>
      <w:b/>
      <w:bCs/>
      <w:sz w:val="28"/>
      <w:szCs w:val="28"/>
    </w:rPr>
  </w:style>
  <w:style w:type="paragraph" w:styleId="Overskrift5">
    <w:name w:val="heading 5"/>
    <w:basedOn w:val="Normal"/>
    <w:next w:val="Normal"/>
    <w:semiHidden/>
    <w:rsid w:val="0055369E"/>
    <w:pPr>
      <w:spacing w:before="240" w:after="60"/>
      <w:outlineLvl w:val="4"/>
    </w:pPr>
    <w:rPr>
      <w:b/>
      <w:bCs/>
      <w:i/>
      <w:iCs/>
      <w:sz w:val="26"/>
      <w:szCs w:val="26"/>
    </w:rPr>
  </w:style>
  <w:style w:type="paragraph" w:styleId="Overskrift6">
    <w:name w:val="heading 6"/>
    <w:basedOn w:val="Normal"/>
    <w:next w:val="Normal"/>
    <w:semiHidden/>
    <w:rsid w:val="0055369E"/>
    <w:pPr>
      <w:spacing w:before="240" w:after="60"/>
      <w:outlineLvl w:val="5"/>
    </w:pPr>
    <w:rPr>
      <w:rFonts w:ascii="Times New Roman" w:hAnsi="Times New Roman"/>
      <w:b/>
      <w:bCs/>
      <w:sz w:val="22"/>
      <w:szCs w:val="22"/>
    </w:rPr>
  </w:style>
  <w:style w:type="paragraph" w:styleId="Overskrift7">
    <w:name w:val="heading 7"/>
    <w:basedOn w:val="Normal"/>
    <w:next w:val="Normal"/>
    <w:semiHidden/>
    <w:rsid w:val="0055369E"/>
    <w:pPr>
      <w:spacing w:before="240" w:after="60"/>
      <w:outlineLvl w:val="6"/>
    </w:pPr>
    <w:rPr>
      <w:rFonts w:ascii="Times New Roman" w:hAnsi="Times New Roman"/>
      <w:sz w:val="24"/>
    </w:rPr>
  </w:style>
  <w:style w:type="paragraph" w:styleId="Overskrift8">
    <w:name w:val="heading 8"/>
    <w:basedOn w:val="Normal"/>
    <w:next w:val="Normal"/>
    <w:semiHidden/>
    <w:rsid w:val="0055369E"/>
    <w:pPr>
      <w:spacing w:before="240" w:after="60"/>
      <w:outlineLvl w:val="7"/>
    </w:pPr>
    <w:rPr>
      <w:rFonts w:ascii="Times New Roman" w:hAnsi="Times New Roman"/>
      <w:i/>
      <w:iCs/>
      <w:sz w:val="24"/>
    </w:rPr>
  </w:style>
  <w:style w:type="paragraph" w:styleId="Overskrift9">
    <w:name w:val="heading 9"/>
    <w:basedOn w:val="Normal"/>
    <w:next w:val="Normal"/>
    <w:semiHidden/>
    <w:rsid w:val="0055369E"/>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077CC"/>
    <w:pPr>
      <w:tabs>
        <w:tab w:val="center" w:pos="4819"/>
        <w:tab w:val="right" w:pos="9638"/>
      </w:tabs>
    </w:pPr>
  </w:style>
  <w:style w:type="paragraph" w:styleId="Sidefod">
    <w:name w:val="footer"/>
    <w:basedOn w:val="Normal"/>
    <w:link w:val="SidefodTegn"/>
    <w:qFormat/>
    <w:rsid w:val="00B019DE"/>
    <w:pPr>
      <w:tabs>
        <w:tab w:val="center" w:pos="4819"/>
        <w:tab w:val="right" w:pos="9638"/>
      </w:tabs>
      <w:spacing w:line="200" w:lineRule="atLeast"/>
    </w:pPr>
    <w:rPr>
      <w:noProof/>
      <w:sz w:val="13"/>
    </w:rPr>
  </w:style>
  <w:style w:type="table" w:styleId="Tabel-Gitter">
    <w:name w:val="Table Grid"/>
    <w:basedOn w:val="Tabel-Normal"/>
    <w:semiHidden/>
    <w:rsid w:val="00D077C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semiHidden/>
    <w:rsid w:val="005D451C"/>
  </w:style>
  <w:style w:type="numbering" w:styleId="111111">
    <w:name w:val="Outline List 2"/>
    <w:basedOn w:val="Ingenoversigt"/>
    <w:semiHidden/>
    <w:rsid w:val="0055369E"/>
    <w:pPr>
      <w:numPr>
        <w:numId w:val="1"/>
      </w:numPr>
    </w:pPr>
  </w:style>
  <w:style w:type="numbering" w:styleId="1ai">
    <w:name w:val="Outline List 1"/>
    <w:basedOn w:val="Ingenoversigt"/>
    <w:semiHidden/>
    <w:rsid w:val="0055369E"/>
    <w:pPr>
      <w:numPr>
        <w:numId w:val="2"/>
      </w:numPr>
    </w:pPr>
  </w:style>
  <w:style w:type="paragraph" w:styleId="Afsenderadresse">
    <w:name w:val="envelope return"/>
    <w:basedOn w:val="Normal"/>
    <w:semiHidden/>
    <w:rsid w:val="0055369E"/>
    <w:rPr>
      <w:rFonts w:ascii="Arial" w:hAnsi="Arial" w:cs="Arial"/>
      <w:sz w:val="20"/>
      <w:szCs w:val="20"/>
    </w:rPr>
  </w:style>
  <w:style w:type="paragraph" w:styleId="Almindeligtekst">
    <w:name w:val="Plain Text"/>
    <w:basedOn w:val="Normal"/>
    <w:semiHidden/>
    <w:rsid w:val="0055369E"/>
    <w:rPr>
      <w:rFonts w:ascii="Courier New" w:hAnsi="Courier New" w:cs="Courier New"/>
      <w:sz w:val="20"/>
      <w:szCs w:val="20"/>
    </w:rPr>
  </w:style>
  <w:style w:type="numbering" w:styleId="ArtikelSektion">
    <w:name w:val="Outline List 3"/>
    <w:basedOn w:val="Ingenoversigt"/>
    <w:semiHidden/>
    <w:rsid w:val="0055369E"/>
    <w:pPr>
      <w:numPr>
        <w:numId w:val="3"/>
      </w:numPr>
    </w:pPr>
  </w:style>
  <w:style w:type="character" w:styleId="BesgtLink">
    <w:name w:val="FollowedHyperlink"/>
    <w:basedOn w:val="Standardskrifttypeiafsnit"/>
    <w:semiHidden/>
    <w:rsid w:val="0055369E"/>
    <w:rPr>
      <w:color w:val="800080"/>
      <w:u w:val="single"/>
    </w:rPr>
  </w:style>
  <w:style w:type="paragraph" w:styleId="Bloktekst">
    <w:name w:val="Block Text"/>
    <w:basedOn w:val="Normal"/>
    <w:semiHidden/>
    <w:rsid w:val="0055369E"/>
    <w:pPr>
      <w:spacing w:after="120"/>
      <w:ind w:left="1440" w:right="1440"/>
    </w:pPr>
  </w:style>
  <w:style w:type="paragraph" w:styleId="Brevhoved">
    <w:name w:val="Message Header"/>
    <w:basedOn w:val="Normal"/>
    <w:semiHidden/>
    <w:rsid w:val="005536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semiHidden/>
    <w:rsid w:val="0055369E"/>
    <w:pPr>
      <w:spacing w:after="120"/>
    </w:pPr>
  </w:style>
  <w:style w:type="paragraph" w:styleId="Brdtekst-frstelinjeindrykning1">
    <w:name w:val="Body Text First Indent"/>
    <w:basedOn w:val="Brdtekst"/>
    <w:semiHidden/>
    <w:rsid w:val="0055369E"/>
    <w:pPr>
      <w:ind w:firstLine="210"/>
    </w:pPr>
  </w:style>
  <w:style w:type="paragraph" w:styleId="Brdtekstindrykning">
    <w:name w:val="Body Text Indent"/>
    <w:basedOn w:val="Normal"/>
    <w:semiHidden/>
    <w:rsid w:val="0055369E"/>
    <w:pPr>
      <w:spacing w:after="120"/>
      <w:ind w:left="283"/>
    </w:pPr>
  </w:style>
  <w:style w:type="paragraph" w:styleId="Brdtekst-frstelinjeindrykning2">
    <w:name w:val="Body Text First Indent 2"/>
    <w:basedOn w:val="Brdtekstindrykning"/>
    <w:semiHidden/>
    <w:rsid w:val="0055369E"/>
    <w:pPr>
      <w:ind w:firstLine="210"/>
    </w:pPr>
  </w:style>
  <w:style w:type="paragraph" w:styleId="Brdtekst2">
    <w:name w:val="Body Text 2"/>
    <w:basedOn w:val="Normal"/>
    <w:semiHidden/>
    <w:rsid w:val="0055369E"/>
    <w:pPr>
      <w:spacing w:after="120" w:line="480" w:lineRule="auto"/>
    </w:pPr>
  </w:style>
  <w:style w:type="paragraph" w:styleId="Brdtekst3">
    <w:name w:val="Body Text 3"/>
    <w:basedOn w:val="Normal"/>
    <w:semiHidden/>
    <w:rsid w:val="0055369E"/>
    <w:pPr>
      <w:spacing w:after="120"/>
    </w:pPr>
    <w:rPr>
      <w:szCs w:val="16"/>
    </w:rPr>
  </w:style>
  <w:style w:type="paragraph" w:styleId="Brdtekstindrykning2">
    <w:name w:val="Body Text Indent 2"/>
    <w:basedOn w:val="Normal"/>
    <w:semiHidden/>
    <w:rsid w:val="0055369E"/>
    <w:pPr>
      <w:spacing w:after="120" w:line="480" w:lineRule="auto"/>
      <w:ind w:left="283"/>
    </w:pPr>
  </w:style>
  <w:style w:type="paragraph" w:styleId="Brdtekstindrykning3">
    <w:name w:val="Body Text Indent 3"/>
    <w:basedOn w:val="Normal"/>
    <w:semiHidden/>
    <w:rsid w:val="0055369E"/>
    <w:pPr>
      <w:spacing w:after="120"/>
      <w:ind w:left="283"/>
    </w:pPr>
    <w:rPr>
      <w:szCs w:val="16"/>
    </w:rPr>
  </w:style>
  <w:style w:type="paragraph" w:styleId="Dato">
    <w:name w:val="Date"/>
    <w:basedOn w:val="Normal"/>
    <w:next w:val="Normal"/>
    <w:semiHidden/>
    <w:rsid w:val="0055369E"/>
  </w:style>
  <w:style w:type="paragraph" w:styleId="Mailsignatur">
    <w:name w:val="E-mail Signature"/>
    <w:basedOn w:val="Normal"/>
    <w:semiHidden/>
    <w:rsid w:val="0055369E"/>
  </w:style>
  <w:style w:type="paragraph" w:styleId="FormateretHTML">
    <w:name w:val="HTML Preformatted"/>
    <w:basedOn w:val="Normal"/>
    <w:semiHidden/>
    <w:rsid w:val="0055369E"/>
    <w:rPr>
      <w:rFonts w:ascii="Courier New" w:hAnsi="Courier New" w:cs="Courier New"/>
      <w:sz w:val="20"/>
      <w:szCs w:val="20"/>
    </w:rPr>
  </w:style>
  <w:style w:type="character" w:styleId="Fremhv">
    <w:name w:val="Emphasis"/>
    <w:basedOn w:val="Standardskrifttypeiafsnit"/>
    <w:semiHidden/>
    <w:rsid w:val="0055369E"/>
    <w:rPr>
      <w:i/>
      <w:iCs/>
    </w:rPr>
  </w:style>
  <w:style w:type="paragraph" w:styleId="HTML-adresse">
    <w:name w:val="HTML Address"/>
    <w:basedOn w:val="Normal"/>
    <w:semiHidden/>
    <w:rsid w:val="0055369E"/>
    <w:rPr>
      <w:i/>
      <w:iCs/>
    </w:rPr>
  </w:style>
  <w:style w:type="character" w:styleId="HTML-akronym">
    <w:name w:val="HTML Acronym"/>
    <w:basedOn w:val="Standardskrifttypeiafsnit"/>
    <w:semiHidden/>
    <w:rsid w:val="0055369E"/>
  </w:style>
  <w:style w:type="character" w:styleId="HTML-citat">
    <w:name w:val="HTML Cite"/>
    <w:basedOn w:val="Standardskrifttypeiafsnit"/>
    <w:semiHidden/>
    <w:rsid w:val="0055369E"/>
    <w:rPr>
      <w:i/>
      <w:iCs/>
    </w:rPr>
  </w:style>
  <w:style w:type="character" w:styleId="HTML-definition">
    <w:name w:val="HTML Definition"/>
    <w:basedOn w:val="Standardskrifttypeiafsnit"/>
    <w:semiHidden/>
    <w:rsid w:val="0055369E"/>
    <w:rPr>
      <w:i/>
      <w:iCs/>
    </w:rPr>
  </w:style>
  <w:style w:type="character" w:styleId="HTML-eksempel">
    <w:name w:val="HTML Sample"/>
    <w:basedOn w:val="Standardskrifttypeiafsnit"/>
    <w:semiHidden/>
    <w:rsid w:val="0055369E"/>
    <w:rPr>
      <w:rFonts w:ascii="Courier New" w:hAnsi="Courier New" w:cs="Courier New"/>
    </w:rPr>
  </w:style>
  <w:style w:type="character" w:styleId="HTML-kode">
    <w:name w:val="HTML Code"/>
    <w:basedOn w:val="Standardskrifttypeiafsnit"/>
    <w:semiHidden/>
    <w:rsid w:val="0055369E"/>
    <w:rPr>
      <w:rFonts w:ascii="Courier New" w:hAnsi="Courier New" w:cs="Courier New"/>
      <w:sz w:val="20"/>
      <w:szCs w:val="20"/>
    </w:rPr>
  </w:style>
  <w:style w:type="character" w:styleId="HTML-skrivemaskine">
    <w:name w:val="HTML Typewriter"/>
    <w:basedOn w:val="Standardskrifttypeiafsnit"/>
    <w:semiHidden/>
    <w:rsid w:val="0055369E"/>
    <w:rPr>
      <w:rFonts w:ascii="Courier New" w:hAnsi="Courier New" w:cs="Courier New"/>
      <w:sz w:val="20"/>
      <w:szCs w:val="20"/>
    </w:rPr>
  </w:style>
  <w:style w:type="character" w:styleId="HTML-tastatur">
    <w:name w:val="HTML Keyboard"/>
    <w:basedOn w:val="Standardskrifttypeiafsnit"/>
    <w:semiHidden/>
    <w:rsid w:val="0055369E"/>
    <w:rPr>
      <w:rFonts w:ascii="Courier New" w:hAnsi="Courier New" w:cs="Courier New"/>
      <w:sz w:val="20"/>
      <w:szCs w:val="20"/>
    </w:rPr>
  </w:style>
  <w:style w:type="character" w:styleId="HTML-variabel">
    <w:name w:val="HTML Variable"/>
    <w:basedOn w:val="Standardskrifttypeiafsnit"/>
    <w:semiHidden/>
    <w:rsid w:val="0055369E"/>
    <w:rPr>
      <w:i/>
      <w:iCs/>
    </w:rPr>
  </w:style>
  <w:style w:type="character" w:styleId="Hyperlink">
    <w:name w:val="Hyperlink"/>
    <w:basedOn w:val="Standardskrifttypeiafsnit"/>
    <w:semiHidden/>
    <w:rsid w:val="0055369E"/>
    <w:rPr>
      <w:color w:val="0000FF"/>
      <w:u w:val="single"/>
    </w:rPr>
  </w:style>
  <w:style w:type="character" w:styleId="Linjenummer">
    <w:name w:val="line number"/>
    <w:basedOn w:val="Standardskrifttypeiafsnit"/>
    <w:semiHidden/>
    <w:rsid w:val="0055369E"/>
  </w:style>
  <w:style w:type="paragraph" w:styleId="Modtageradresse">
    <w:name w:val="envelope address"/>
    <w:basedOn w:val="Normal"/>
    <w:semiHidden/>
    <w:rsid w:val="0055369E"/>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rsid w:val="0055369E"/>
    <w:rPr>
      <w:rFonts w:ascii="Times New Roman" w:hAnsi="Times New Roman"/>
      <w:sz w:val="24"/>
    </w:rPr>
  </w:style>
  <w:style w:type="paragraph" w:styleId="Normalindrykning">
    <w:name w:val="Normal Indent"/>
    <w:basedOn w:val="Normal"/>
    <w:link w:val="NormalindrykningTegn"/>
    <w:qFormat/>
    <w:rsid w:val="0055369E"/>
    <w:pPr>
      <w:ind w:left="1304"/>
    </w:pPr>
  </w:style>
  <w:style w:type="paragraph" w:styleId="Noteoverskrift">
    <w:name w:val="Note Heading"/>
    <w:basedOn w:val="Normal"/>
    <w:next w:val="Normal"/>
    <w:semiHidden/>
    <w:rsid w:val="0055369E"/>
  </w:style>
  <w:style w:type="paragraph" w:styleId="Liste">
    <w:name w:val="List"/>
    <w:basedOn w:val="Normal"/>
    <w:semiHidden/>
    <w:rsid w:val="0055369E"/>
    <w:pPr>
      <w:ind w:left="283" w:hanging="283"/>
    </w:pPr>
  </w:style>
  <w:style w:type="paragraph" w:styleId="Opstilling-forts">
    <w:name w:val="List Continue"/>
    <w:basedOn w:val="Normal"/>
    <w:semiHidden/>
    <w:rsid w:val="0055369E"/>
    <w:pPr>
      <w:spacing w:after="120"/>
      <w:ind w:left="283"/>
    </w:pPr>
  </w:style>
  <w:style w:type="paragraph" w:styleId="Opstilling-forts2">
    <w:name w:val="List Continue 2"/>
    <w:basedOn w:val="Normal"/>
    <w:semiHidden/>
    <w:rsid w:val="0055369E"/>
    <w:pPr>
      <w:spacing w:after="120"/>
      <w:ind w:left="566"/>
    </w:pPr>
  </w:style>
  <w:style w:type="paragraph" w:styleId="Opstilling-forts3">
    <w:name w:val="List Continue 3"/>
    <w:basedOn w:val="Normal"/>
    <w:semiHidden/>
    <w:rsid w:val="0055369E"/>
    <w:pPr>
      <w:spacing w:after="120"/>
      <w:ind w:left="849"/>
    </w:pPr>
  </w:style>
  <w:style w:type="paragraph" w:styleId="Opstilling-forts4">
    <w:name w:val="List Continue 4"/>
    <w:basedOn w:val="Normal"/>
    <w:semiHidden/>
    <w:rsid w:val="0055369E"/>
    <w:pPr>
      <w:spacing w:after="120"/>
      <w:ind w:left="1132"/>
    </w:pPr>
  </w:style>
  <w:style w:type="paragraph" w:styleId="Opstilling-forts5">
    <w:name w:val="List Continue 5"/>
    <w:basedOn w:val="Normal"/>
    <w:semiHidden/>
    <w:rsid w:val="0055369E"/>
    <w:pPr>
      <w:spacing w:after="120"/>
      <w:ind w:left="1415"/>
    </w:pPr>
  </w:style>
  <w:style w:type="paragraph" w:styleId="Opstilling-punkttegn">
    <w:name w:val="List Bullet"/>
    <w:basedOn w:val="Normal"/>
    <w:semiHidden/>
    <w:rsid w:val="0055369E"/>
    <w:pPr>
      <w:numPr>
        <w:numId w:val="4"/>
      </w:numPr>
    </w:pPr>
  </w:style>
  <w:style w:type="paragraph" w:styleId="Opstilling-punkttegn2">
    <w:name w:val="List Bullet 2"/>
    <w:basedOn w:val="Normal"/>
    <w:semiHidden/>
    <w:rsid w:val="0055369E"/>
    <w:pPr>
      <w:numPr>
        <w:numId w:val="5"/>
      </w:numPr>
    </w:pPr>
  </w:style>
  <w:style w:type="paragraph" w:styleId="Opstilling-punkttegn3">
    <w:name w:val="List Bullet 3"/>
    <w:basedOn w:val="Normal"/>
    <w:semiHidden/>
    <w:rsid w:val="0055369E"/>
    <w:pPr>
      <w:numPr>
        <w:numId w:val="6"/>
      </w:numPr>
    </w:pPr>
  </w:style>
  <w:style w:type="paragraph" w:styleId="Opstilling-punkttegn4">
    <w:name w:val="List Bullet 4"/>
    <w:basedOn w:val="Normal"/>
    <w:semiHidden/>
    <w:rsid w:val="0055369E"/>
    <w:pPr>
      <w:numPr>
        <w:numId w:val="7"/>
      </w:numPr>
    </w:pPr>
  </w:style>
  <w:style w:type="paragraph" w:styleId="Opstilling-punkttegn5">
    <w:name w:val="List Bullet 5"/>
    <w:basedOn w:val="Normal"/>
    <w:semiHidden/>
    <w:rsid w:val="0055369E"/>
    <w:pPr>
      <w:numPr>
        <w:numId w:val="8"/>
      </w:numPr>
    </w:pPr>
  </w:style>
  <w:style w:type="paragraph" w:styleId="Opstilling-talellerbogst">
    <w:name w:val="List Number"/>
    <w:basedOn w:val="Normal"/>
    <w:semiHidden/>
    <w:rsid w:val="0055369E"/>
    <w:pPr>
      <w:numPr>
        <w:numId w:val="9"/>
      </w:numPr>
      <w:ind w:left="0" w:firstLine="0"/>
    </w:pPr>
  </w:style>
  <w:style w:type="paragraph" w:styleId="Opstilling-talellerbogst2">
    <w:name w:val="List Number 2"/>
    <w:basedOn w:val="Normal"/>
    <w:semiHidden/>
    <w:rsid w:val="0055369E"/>
    <w:pPr>
      <w:numPr>
        <w:numId w:val="10"/>
      </w:numPr>
    </w:pPr>
  </w:style>
  <w:style w:type="paragraph" w:styleId="Opstilling-talellerbogst3">
    <w:name w:val="List Number 3"/>
    <w:basedOn w:val="Normal"/>
    <w:semiHidden/>
    <w:rsid w:val="0055369E"/>
    <w:pPr>
      <w:numPr>
        <w:numId w:val="11"/>
      </w:numPr>
    </w:pPr>
  </w:style>
  <w:style w:type="paragraph" w:styleId="Opstilling-talellerbogst4">
    <w:name w:val="List Number 4"/>
    <w:basedOn w:val="Normal"/>
    <w:semiHidden/>
    <w:rsid w:val="0055369E"/>
    <w:pPr>
      <w:numPr>
        <w:numId w:val="12"/>
      </w:numPr>
    </w:pPr>
  </w:style>
  <w:style w:type="paragraph" w:styleId="Opstilling-talellerbogst5">
    <w:name w:val="List Number 5"/>
    <w:basedOn w:val="Normal"/>
    <w:semiHidden/>
    <w:rsid w:val="0055369E"/>
    <w:pPr>
      <w:numPr>
        <w:numId w:val="13"/>
      </w:numPr>
    </w:pPr>
  </w:style>
  <w:style w:type="paragraph" w:styleId="Liste2">
    <w:name w:val="List 2"/>
    <w:basedOn w:val="Normal"/>
    <w:semiHidden/>
    <w:rsid w:val="0055369E"/>
    <w:pPr>
      <w:ind w:left="566" w:hanging="283"/>
    </w:pPr>
  </w:style>
  <w:style w:type="paragraph" w:styleId="Liste3">
    <w:name w:val="List 3"/>
    <w:basedOn w:val="Normal"/>
    <w:semiHidden/>
    <w:rsid w:val="0055369E"/>
    <w:pPr>
      <w:ind w:left="849" w:hanging="283"/>
    </w:pPr>
  </w:style>
  <w:style w:type="paragraph" w:styleId="Liste4">
    <w:name w:val="List 4"/>
    <w:basedOn w:val="Normal"/>
    <w:semiHidden/>
    <w:rsid w:val="0055369E"/>
    <w:pPr>
      <w:ind w:left="1132" w:hanging="283"/>
    </w:pPr>
  </w:style>
  <w:style w:type="paragraph" w:styleId="Liste5">
    <w:name w:val="List 5"/>
    <w:basedOn w:val="Normal"/>
    <w:semiHidden/>
    <w:rsid w:val="0055369E"/>
    <w:pPr>
      <w:ind w:left="1415" w:hanging="283"/>
    </w:pPr>
  </w:style>
  <w:style w:type="paragraph" w:styleId="Sluthilsen">
    <w:name w:val="Closing"/>
    <w:basedOn w:val="Normal"/>
    <w:semiHidden/>
    <w:rsid w:val="0055369E"/>
    <w:pPr>
      <w:ind w:left="4252"/>
    </w:pPr>
  </w:style>
  <w:style w:type="paragraph" w:styleId="Starthilsen">
    <w:name w:val="Salutation"/>
    <w:basedOn w:val="Normal"/>
    <w:next w:val="Normal"/>
    <w:semiHidden/>
    <w:rsid w:val="0055369E"/>
  </w:style>
  <w:style w:type="character" w:styleId="Strk">
    <w:name w:val="Strong"/>
    <w:basedOn w:val="Standardskrifttypeiafsnit"/>
    <w:uiPriority w:val="22"/>
    <w:qFormat/>
    <w:rsid w:val="0055369E"/>
    <w:rPr>
      <w:b/>
      <w:bCs/>
    </w:rPr>
  </w:style>
  <w:style w:type="table" w:styleId="Tabel-3D-effekter1">
    <w:name w:val="Table 3D effects 1"/>
    <w:basedOn w:val="Tabel-Normal"/>
    <w:semiHidden/>
    <w:rsid w:val="0055369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5369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5369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55369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55369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5369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55369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5369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5369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5369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5369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5369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5369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5369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55369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5369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5369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5369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55369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5369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5369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5369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5369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55369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5369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5369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5369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55369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55369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5369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5369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5369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rsid w:val="0055369E"/>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55369E"/>
    <w:pPr>
      <w:ind w:left="4252"/>
    </w:pPr>
  </w:style>
  <w:style w:type="paragraph" w:styleId="Undertitel">
    <w:name w:val="Subtitle"/>
    <w:basedOn w:val="Normal"/>
    <w:semiHidden/>
    <w:rsid w:val="0055369E"/>
    <w:pPr>
      <w:spacing w:after="60"/>
      <w:jc w:val="center"/>
      <w:outlineLvl w:val="1"/>
    </w:pPr>
    <w:rPr>
      <w:rFonts w:ascii="Arial" w:hAnsi="Arial" w:cs="Arial"/>
      <w:sz w:val="24"/>
    </w:rPr>
  </w:style>
  <w:style w:type="character" w:customStyle="1" w:styleId="SidefodTegn">
    <w:name w:val="Sidefod Tegn"/>
    <w:basedOn w:val="Standardskrifttypeiafsnit"/>
    <w:link w:val="Sidefod"/>
    <w:rsid w:val="00B90442"/>
    <w:rPr>
      <w:rFonts w:ascii="Verdana" w:hAnsi="Verdana"/>
      <w:noProof/>
      <w:sz w:val="13"/>
      <w:szCs w:val="24"/>
      <w:lang w:val="en-GB"/>
    </w:rPr>
  </w:style>
  <w:style w:type="paragraph" w:customStyle="1" w:styleId="Address">
    <w:name w:val="Address"/>
    <w:basedOn w:val="Normal"/>
    <w:semiHidden/>
    <w:rsid w:val="00342E45"/>
    <w:pPr>
      <w:spacing w:line="210" w:lineRule="atLeast"/>
    </w:pPr>
    <w:rPr>
      <w:noProof/>
      <w:sz w:val="13"/>
    </w:rPr>
  </w:style>
  <w:style w:type="paragraph" w:customStyle="1" w:styleId="Sendercompanyname">
    <w:name w:val="Sendercompanyname"/>
    <w:basedOn w:val="Normal"/>
    <w:semiHidden/>
    <w:rsid w:val="00342E45"/>
    <w:pPr>
      <w:framePr w:hSpace="142" w:wrap="around" w:vAnchor="page" w:hAnchor="page" w:x="9073" w:y="2127"/>
      <w:spacing w:line="210" w:lineRule="atLeast"/>
      <w:suppressOverlap/>
    </w:pPr>
    <w:rPr>
      <w:rFonts w:ascii="Century Gothic" w:hAnsi="Century Gothic"/>
      <w:b/>
      <w:noProof/>
      <w:sz w:val="14"/>
      <w:szCs w:val="20"/>
      <w:lang w:eastAsia="en-US"/>
    </w:rPr>
  </w:style>
  <w:style w:type="paragraph" w:styleId="Markeringsbobletekst">
    <w:name w:val="Balloon Text"/>
    <w:basedOn w:val="Normal"/>
    <w:link w:val="MarkeringsbobletekstTegn"/>
    <w:semiHidden/>
    <w:rsid w:val="00A51F1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90442"/>
    <w:rPr>
      <w:rFonts w:ascii="Tahoma" w:hAnsi="Tahoma" w:cs="Tahoma"/>
      <w:sz w:val="16"/>
      <w:szCs w:val="16"/>
      <w:lang w:val="en-GB"/>
    </w:rPr>
  </w:style>
  <w:style w:type="paragraph" w:styleId="Listeafsnit">
    <w:name w:val="List Paragraph"/>
    <w:basedOn w:val="Normal"/>
    <w:uiPriority w:val="34"/>
    <w:rsid w:val="002D585E"/>
    <w:pPr>
      <w:ind w:left="720"/>
      <w:contextualSpacing/>
    </w:pPr>
  </w:style>
  <w:style w:type="paragraph" w:customStyle="1" w:styleId="Opstilmtal">
    <w:name w:val="Opstil m. tal"/>
    <w:basedOn w:val="Normal"/>
    <w:uiPriority w:val="3"/>
    <w:qFormat/>
    <w:rsid w:val="00B87727"/>
    <w:pPr>
      <w:numPr>
        <w:numId w:val="28"/>
      </w:numPr>
      <w:spacing w:after="180" w:line="336" w:lineRule="auto"/>
    </w:pPr>
    <w:rPr>
      <w:spacing w:val="6"/>
      <w:sz w:val="17"/>
      <w:szCs w:val="20"/>
      <w:lang w:eastAsia="en-GB"/>
    </w:rPr>
  </w:style>
  <w:style w:type="paragraph" w:customStyle="1" w:styleId="Overskrift10">
    <w:name w:val="Overskrift1"/>
    <w:basedOn w:val="Normal"/>
    <w:next w:val="Normal"/>
    <w:qFormat/>
    <w:rsid w:val="00214417"/>
    <w:pPr>
      <w:keepNext/>
      <w:spacing w:after="180" w:line="336" w:lineRule="auto"/>
    </w:pPr>
    <w:rPr>
      <w:b/>
      <w:caps/>
      <w:spacing w:val="10"/>
      <w:sz w:val="17"/>
      <w:szCs w:val="17"/>
      <w:lang w:eastAsia="en-US"/>
    </w:rPr>
  </w:style>
  <w:style w:type="paragraph" w:customStyle="1" w:styleId="Default">
    <w:name w:val="Default"/>
    <w:rsid w:val="00012F07"/>
    <w:pPr>
      <w:autoSpaceDE w:val="0"/>
      <w:autoSpaceDN w:val="0"/>
      <w:adjustRightInd w:val="0"/>
    </w:pPr>
    <w:rPr>
      <w:rFonts w:ascii="Verdana" w:eastAsiaTheme="minorHAnsi" w:hAnsi="Verdana" w:cs="Verdana"/>
      <w:color w:val="000000"/>
      <w:sz w:val="24"/>
      <w:szCs w:val="24"/>
      <w:lang w:eastAsia="en-US"/>
    </w:rPr>
  </w:style>
  <w:style w:type="paragraph" w:customStyle="1" w:styleId="Heading">
    <w:name w:val="Heading"/>
    <w:basedOn w:val="Normal"/>
    <w:next w:val="Normal"/>
    <w:uiPriority w:val="1"/>
    <w:rsid w:val="00CC352C"/>
    <w:pPr>
      <w:spacing w:after="480" w:line="390" w:lineRule="atLeast"/>
      <w:contextualSpacing/>
    </w:pPr>
    <w:rPr>
      <w:rFonts w:ascii="Times New Roman" w:eastAsiaTheme="minorHAnsi" w:hAnsi="Times New Roman" w:cstheme="minorBidi"/>
      <w:caps/>
      <w:spacing w:val="5"/>
      <w:sz w:val="32"/>
      <w:szCs w:val="18"/>
      <w:lang w:eastAsia="en-US"/>
    </w:rPr>
  </w:style>
  <w:style w:type="character" w:customStyle="1" w:styleId="NormalindrykningTegn">
    <w:name w:val="Normal indrykning Tegn"/>
    <w:link w:val="Normalindrykning"/>
    <w:rsid w:val="00CC352C"/>
    <w:rPr>
      <w:rFonts w:ascii="Verdana" w:hAnsi="Verdana"/>
      <w:sz w:val="18"/>
      <w:szCs w:val="24"/>
      <w:lang w:val="en-GB"/>
    </w:rPr>
  </w:style>
  <w:style w:type="character" w:customStyle="1" w:styleId="DeltaViewInsertion">
    <w:name w:val="DeltaView Insertion"/>
    <w:rsid w:val="00CC352C"/>
    <w:rPr>
      <w:color w:val="0000FF"/>
      <w:spacing w:val="0"/>
      <w:u w:val="double"/>
    </w:rPr>
  </w:style>
  <w:style w:type="paragraph" w:customStyle="1" w:styleId="ParadigmeKommentar">
    <w:name w:val="ParadigmeKommentar"/>
    <w:basedOn w:val="Normal"/>
    <w:link w:val="ParadigmeKommentarChar"/>
    <w:uiPriority w:val="4"/>
    <w:rsid w:val="00CC352C"/>
    <w:pPr>
      <w:spacing w:after="130" w:line="260" w:lineRule="atLeast"/>
    </w:pPr>
    <w:rPr>
      <w:rFonts w:ascii="Arial" w:hAnsi="Arial"/>
      <w:i/>
      <w:color w:val="008000"/>
      <w:szCs w:val="20"/>
    </w:rPr>
  </w:style>
  <w:style w:type="character" w:customStyle="1" w:styleId="ParadigmeKommentarChar">
    <w:name w:val="ParadigmeKommentar Char"/>
    <w:link w:val="ParadigmeKommentar"/>
    <w:uiPriority w:val="4"/>
    <w:rsid w:val="00CC352C"/>
    <w:rPr>
      <w:rFonts w:ascii="Arial" w:hAnsi="Arial"/>
      <w:i/>
      <w:color w:val="008000"/>
      <w:sz w:val="18"/>
    </w:rPr>
  </w:style>
  <w:style w:type="character" w:styleId="Kommentarhenvisning">
    <w:name w:val="annotation reference"/>
    <w:basedOn w:val="Standardskrifttypeiafsnit"/>
    <w:semiHidden/>
    <w:unhideWhenUsed/>
    <w:rsid w:val="00EA2AAC"/>
    <w:rPr>
      <w:sz w:val="16"/>
      <w:szCs w:val="16"/>
    </w:rPr>
  </w:style>
  <w:style w:type="paragraph" w:styleId="Kommentartekst">
    <w:name w:val="annotation text"/>
    <w:basedOn w:val="Normal"/>
    <w:link w:val="KommentartekstTegn"/>
    <w:semiHidden/>
    <w:unhideWhenUsed/>
    <w:rsid w:val="00EA2AAC"/>
    <w:pPr>
      <w:spacing w:line="240" w:lineRule="auto"/>
    </w:pPr>
    <w:rPr>
      <w:sz w:val="20"/>
      <w:szCs w:val="20"/>
    </w:rPr>
  </w:style>
  <w:style w:type="character" w:customStyle="1" w:styleId="KommentartekstTegn">
    <w:name w:val="Kommentartekst Tegn"/>
    <w:basedOn w:val="Standardskrifttypeiafsnit"/>
    <w:link w:val="Kommentartekst"/>
    <w:semiHidden/>
    <w:rsid w:val="00EA2AAC"/>
    <w:rPr>
      <w:rFonts w:ascii="Verdana" w:hAnsi="Verdana"/>
    </w:rPr>
  </w:style>
  <w:style w:type="paragraph" w:styleId="Kommentaremne">
    <w:name w:val="annotation subject"/>
    <w:basedOn w:val="Kommentartekst"/>
    <w:next w:val="Kommentartekst"/>
    <w:link w:val="KommentaremneTegn"/>
    <w:semiHidden/>
    <w:unhideWhenUsed/>
    <w:rsid w:val="00EA2AAC"/>
    <w:rPr>
      <w:b/>
      <w:bCs/>
    </w:rPr>
  </w:style>
  <w:style w:type="character" w:customStyle="1" w:styleId="KommentaremneTegn">
    <w:name w:val="Kommentaremne Tegn"/>
    <w:basedOn w:val="KommentartekstTegn"/>
    <w:link w:val="Kommentaremne"/>
    <w:semiHidden/>
    <w:rsid w:val="00EA2AA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3589">
      <w:bodyDiv w:val="1"/>
      <w:marLeft w:val="0"/>
      <w:marRight w:val="0"/>
      <w:marTop w:val="0"/>
      <w:marBottom w:val="0"/>
      <w:divBdr>
        <w:top w:val="none" w:sz="0" w:space="0" w:color="auto"/>
        <w:left w:val="none" w:sz="0" w:space="0" w:color="auto"/>
        <w:bottom w:val="none" w:sz="0" w:space="0" w:color="auto"/>
        <w:right w:val="none" w:sz="0" w:space="0" w:color="auto"/>
      </w:divBdr>
    </w:div>
    <w:div w:id="666714851">
      <w:bodyDiv w:val="1"/>
      <w:marLeft w:val="0"/>
      <w:marRight w:val="0"/>
      <w:marTop w:val="0"/>
      <w:marBottom w:val="0"/>
      <w:divBdr>
        <w:top w:val="none" w:sz="0" w:space="0" w:color="auto"/>
        <w:left w:val="none" w:sz="0" w:space="0" w:color="auto"/>
        <w:bottom w:val="none" w:sz="0" w:space="0" w:color="auto"/>
        <w:right w:val="none" w:sz="0" w:space="0" w:color="auto"/>
      </w:divBdr>
    </w:div>
    <w:div w:id="750278937">
      <w:bodyDiv w:val="1"/>
      <w:marLeft w:val="0"/>
      <w:marRight w:val="0"/>
      <w:marTop w:val="0"/>
      <w:marBottom w:val="0"/>
      <w:divBdr>
        <w:top w:val="none" w:sz="0" w:space="0" w:color="auto"/>
        <w:left w:val="none" w:sz="0" w:space="0" w:color="auto"/>
        <w:bottom w:val="none" w:sz="0" w:space="0" w:color="auto"/>
        <w:right w:val="none" w:sz="0" w:space="0" w:color="auto"/>
      </w:divBdr>
    </w:div>
    <w:div w:id="1142650859">
      <w:bodyDiv w:val="1"/>
      <w:marLeft w:val="0"/>
      <w:marRight w:val="0"/>
      <w:marTop w:val="0"/>
      <w:marBottom w:val="0"/>
      <w:divBdr>
        <w:top w:val="none" w:sz="0" w:space="0" w:color="auto"/>
        <w:left w:val="none" w:sz="0" w:space="0" w:color="auto"/>
        <w:bottom w:val="none" w:sz="0" w:space="0" w:color="auto"/>
        <w:right w:val="none" w:sz="0" w:space="0" w:color="auto"/>
      </w:divBdr>
    </w:div>
    <w:div w:id="1565096186">
      <w:bodyDiv w:val="1"/>
      <w:marLeft w:val="0"/>
      <w:marRight w:val="0"/>
      <w:marTop w:val="0"/>
      <w:marBottom w:val="0"/>
      <w:divBdr>
        <w:top w:val="none" w:sz="0" w:space="0" w:color="auto"/>
        <w:left w:val="none" w:sz="0" w:space="0" w:color="auto"/>
        <w:bottom w:val="none" w:sz="0" w:space="0" w:color="auto"/>
        <w:right w:val="none" w:sz="0" w:space="0" w:color="auto"/>
      </w:divBdr>
    </w:div>
    <w:div w:id="2021007719">
      <w:bodyDiv w:val="1"/>
      <w:marLeft w:val="0"/>
      <w:marRight w:val="0"/>
      <w:marTop w:val="0"/>
      <w:marBottom w:val="0"/>
      <w:divBdr>
        <w:top w:val="none" w:sz="0" w:space="0" w:color="auto"/>
        <w:left w:val="none" w:sz="0" w:space="0" w:color="auto"/>
        <w:bottom w:val="none" w:sz="0" w:space="0" w:color="auto"/>
        <w:right w:val="none" w:sz="0" w:space="0" w:color="auto"/>
      </w:divBdr>
      <w:divsChild>
        <w:div w:id="1585602880">
          <w:marLeft w:val="0"/>
          <w:marRight w:val="0"/>
          <w:marTop w:val="825"/>
          <w:marBottom w:val="825"/>
          <w:divBdr>
            <w:top w:val="none" w:sz="0" w:space="0" w:color="auto"/>
            <w:left w:val="none" w:sz="0" w:space="0" w:color="auto"/>
            <w:bottom w:val="none" w:sz="0" w:space="0" w:color="auto"/>
            <w:right w:val="none" w:sz="0" w:space="0" w:color="auto"/>
          </w:divBdr>
          <w:divsChild>
            <w:div w:id="8329913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782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l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j\AppData\Roaming\Microsoft\Templates\DLH%20Lett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0312053-cc45-4190-b59d-d24a21f18710" ContentTypeId="0x010100FB7AC861EAF9C34EBAF1E10C3DD980B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lientName xmlns="888dc3e0-fb35-4a0f-bf1a-bb6db2c4a9e2">Dalhoff Larsen &amp; Horneman A/S</ClientName>
    <ClientCode xmlns="888dc3e0-fb35-4a0f-bf1a-bb6db2c4a9e2">9956655</ClientCode>
    <MatterName xmlns="888dc3e0-fb35-4a0f-bf1a-bb6db2c4a9e2">Selskabsforhold</MatterName>
    <MatterCode xmlns="888dc3e0-fb35-4a0f-bf1a-bb6db2c4a9e2">1012330</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
        <AccountId xsi:nil="true"/>
        <AccountType/>
      </UserInfo>
    </DocAuthor>
    <SagansvarligPartner xmlns="888dc3e0-fb35-4a0f-bf1a-bb6db2c4a9e2">
      <UserInfo>
        <DisplayName>km\mp</DisplayName>
        <AccountId>8</AccountId>
        <AccountType/>
      </UserInfo>
    </SagansvarligPartner>
    <Sagsbehandler xmlns="888dc3e0-fb35-4a0f-bf1a-bb6db2c4a9e2">
      <UserInfo>
        <DisplayName>km\phd</DisplayName>
        <AccountId>9</AccountId>
        <AccountType/>
      </UserInfo>
    </Sagsbehandler>
    <d0dbee8a66be48c19e0f40924fd16f7d xmlns="888dc3e0-fb35-4a0f-bf1a-bb6db2c4a9e2">
      <Terms xmlns="http://schemas.microsoft.com/office/infopath/2007/PartnerControls">
        <TermInfo>
          <TermName>Varer af træ, glas, porcelæn og læder</TermName>
          <TermId>3bc79026-500c-4714-a54a-e8cc30e49ce8</TermId>
        </TermInfo>
      </Terms>
    </d0dbee8a66be48c19e0f40924fd16f7d>
    <le8093d7c20f4ad09b5130b867639b14 xmlns="888dc3e0-fb35-4a0f-bf1a-bb6db2c4a9e2">
      <Terms xmlns="http://schemas.microsoft.com/office/infopath/2007/PartnerControls">
        <TermInfo>
          <TermName>Øvrig selskabsret</TermName>
          <TermId>8c6e377e-8615-44dd-98e8-3df46160620f</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TermInfo>
          <TermName>KR dokumenter</TermName>
          <TermId>522f9101-2d53-4771-b10e-674edc62ad03</TermId>
        </TermInfo>
      </Terms>
    </lb3609496df1404cb58d30f667c5e2cb>
    <Notes1 xmlns="888dc3e0-fb35-4a0f-bf1a-bb6db2c4a9e2">Endelig udgave</Notes1>
    <TaxCatchAll xmlns="888dc3e0-fb35-4a0f-bf1a-bb6db2c4a9e2">
      <Value>6</Value>
      <Value>4</Value>
      <Value>8</Value>
      <Value>7</Value>
    </TaxCatchAll>
    <eDocsNo xmlns="888dc3e0-fb35-4a0f-bf1a-bb6db2c4a9e2">22105231</eDocsNo>
    <_dlc_DocId xmlns="888dc3e0-fb35-4a0f-bf1a-bb6db2c4a9e2">48664285</_dlc_DocId>
    <_dlc_DocIdUrl xmlns="888dc3e0-fb35-4a0f-bf1a-bb6db2c4a9e2">
      <Url>https://matter.kromannreumert.com/matters/1012330/_layouts/15/DocIdRedir.aspx?ID=48664285</Url>
      <Description>48664285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KR Dokument" ma:contentTypeID="0x010100FB7AC861EAF9C34EBAF1E10C3DD980B600DAD0A2B5E7C3D3458DAAFABBFE8AAC15" ma:contentTypeVersion="8" ma:contentTypeDescription="" ma:contentTypeScope="" ma:versionID="660daaf3230248778d05ea47f652ba1a">
  <xsd:schema xmlns:xsd="http://www.w3.org/2001/XMLSchema" xmlns:xs="http://www.w3.org/2001/XMLSchema" xmlns:p="http://schemas.microsoft.com/office/2006/metadata/properties" xmlns:ns2="888dc3e0-fb35-4a0f-bf1a-bb6db2c4a9e2" targetNamespace="http://schemas.microsoft.com/office/2006/metadata/properties" ma:root="true" ma:fieldsID="94aeb2db0d65de0e91565644fb49cf92" ns2:_="">
    <xsd:import namespace="888dc3e0-fb35-4a0f-bf1a-bb6db2c4a9e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Dalhoff Larsen &amp; Horneman A/S" ma:internalName="ClientName">
      <xsd:simpleType>
        <xsd:restriction base="dms:Text">
          <xsd:maxLength value="255"/>
        </xsd:restriction>
      </xsd:simpleType>
    </xsd:element>
    <xsd:element name="ClientCode" ma:index="3" nillable="true" ma:displayName="Client ID" ma:default="9956655" ma:internalName="ClientCode">
      <xsd:simpleType>
        <xsd:restriction base="dms:Text">
          <xsd:maxLength value="255"/>
        </xsd:restriction>
      </xsd:simpleType>
    </xsd:element>
    <xsd:element name="MatterName" ma:index="4" nillable="true" ma:displayName="Matter Name" ma:default="Selskabsforhold" ma:internalName="MatterName">
      <xsd:simpleType>
        <xsd:restriction base="dms:Text">
          <xsd:maxLength value="255"/>
        </xsd:restriction>
      </xsd:simpleType>
    </xsd:element>
    <xsd:element name="MatterCode" ma:index="5" nillable="true" ma:displayName="Matter ID" ma:default="1012330"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mp"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9;#i:0#.w|km\phd"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f916024-ec28-4a8a-a59d-28ce053a0c32}" ma:internalName="TaxCatchAllLabel" ma:readOnly="true" ma:showField="CatchAllDataLabel" ma:web="908bb5fd-ebc9-4962-9676-4117732c6a3a">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f916024-ec28-4a8a-a59d-28ce053a0c32}" ma:internalName="TaxCatchAll" ma:showField="CatchAllData" ma:web="908bb5fd-ebc9-4962-9676-4117732c6a3a">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Varer af træ, glas, porcelæn og læder|3bc79026-500c-4714-a54a-e8cc30e49ce8"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Øvrig selskabsret|8c6e377e-8615-44dd-98e8-3df46160620f"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A4228-6F6B-4E6C-94EC-CF262BF624BA}">
  <ds:schemaRefs>
    <ds:schemaRef ds:uri="Microsoft.SharePoint.Taxonomy.ContentTypeSync"/>
  </ds:schemaRefs>
</ds:datastoreItem>
</file>

<file path=customXml/itemProps2.xml><?xml version="1.0" encoding="utf-8"?>
<ds:datastoreItem xmlns:ds="http://schemas.openxmlformats.org/officeDocument/2006/customXml" ds:itemID="{3514A438-351B-4CE5-8CBC-2891B3FFE5DD}">
  <ds:schemaRefs>
    <ds:schemaRef ds:uri="http://schemas.microsoft.com/sharepoint/v3/contenttype/forms"/>
  </ds:schemaRefs>
</ds:datastoreItem>
</file>

<file path=customXml/itemProps3.xml><?xml version="1.0" encoding="utf-8"?>
<ds:datastoreItem xmlns:ds="http://schemas.openxmlformats.org/officeDocument/2006/customXml" ds:itemID="{D6737A4E-60C4-4000-9AAB-24311242897D}">
  <ds:schemaRefs>
    <ds:schemaRef ds:uri="http://schemas.microsoft.com/sharepoint/events"/>
  </ds:schemaRefs>
</ds:datastoreItem>
</file>

<file path=customXml/itemProps4.xml><?xml version="1.0" encoding="utf-8"?>
<ds:datastoreItem xmlns:ds="http://schemas.openxmlformats.org/officeDocument/2006/customXml" ds:itemID="{6E93F8A3-2F38-4EDF-A646-6F79CAEE0A87}">
  <ds:schemaRefs>
    <ds:schemaRef ds:uri="http://purl.org/dc/elements/1.1/"/>
    <ds:schemaRef ds:uri="888dc3e0-fb35-4a0f-bf1a-bb6db2c4a9e2"/>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7E98E8A-1888-49BE-9253-AF23D464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DLH Letter</Template>
  <TotalTime>20</TotalTime>
  <Pages>3</Pages>
  <Words>621</Words>
  <Characters>3580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with macros</vt:lpstr>
      <vt:lpstr>Letter with macros</vt:lpstr>
    </vt:vector>
  </TitlesOfParts>
  <Company>Microsoft</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with macros</dc:title>
  <dc:creator>Martin Sjørslev Jensen</dc:creator>
  <cp:lastModifiedBy>John Hartvig Klarskov</cp:lastModifiedBy>
  <cp:revision>9</cp:revision>
  <cp:lastPrinted>2017-04-05T07:01:00Z</cp:lastPrinted>
  <dcterms:created xsi:type="dcterms:W3CDTF">2017-04-05T07:03:00Z</dcterms:created>
  <dcterms:modified xsi:type="dcterms:W3CDTF">2017-04-05T13:51:00Z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ID">
    <vt:lpwstr>2057</vt:lpwstr>
  </property>
  <property fmtid="{D5CDD505-2E9C-101B-9397-08002B2CF9AE}" pid="3" name="EnvironmentalLogo">
    <vt:lpwstr>DenmarkDalhoffLarsen_2057.png</vt:lpwstr>
  </property>
  <property fmtid="{D5CDD505-2E9C-101B-9397-08002B2CF9AE}" pid="4" name="sdDocumentDate">
    <vt:lpwstr>42075</vt:lpwstr>
  </property>
  <property fmtid="{D5CDD505-2E9C-101B-9397-08002B2CF9AE}" pid="5" name="SD_USR_Title">
    <vt:lpwstr>Partner</vt:lpwstr>
  </property>
  <property fmtid="{D5CDD505-2E9C-101B-9397-08002B2CF9AE}" pid="6" name="SD_IntegrationInfoAdded">
    <vt:bool>true</vt:bool>
  </property>
  <property fmtid="{D5CDD505-2E9C-101B-9397-08002B2CF9AE}" pid="7" name="SD_DocumentLanguage">
    <vt:lpwstr>da-DK</vt:lpwstr>
  </property>
  <property fmtid="{D5CDD505-2E9C-101B-9397-08002B2CF9AE}" pid="8" name="krLocation">
    <vt:lpwstr>KRK</vt:lpwstr>
  </property>
  <property fmtid="{D5CDD505-2E9C-101B-9397-08002B2CF9AE}" pid="9" name="LegalSubject">
    <vt:lpwstr>7;#Øvrig selskabsret|8c6e377e-8615-44dd-98e8-3df46160620f</vt:lpwstr>
  </property>
  <property fmtid="{D5CDD505-2E9C-101B-9397-08002B2CF9AE}" pid="10" name="DokumentType">
    <vt:lpwstr>6;#KR dokumenter|522f9101-2d53-4771-b10e-674edc62ad03</vt:lpwstr>
  </property>
  <property fmtid="{D5CDD505-2E9C-101B-9397-08002B2CF9AE}" pid="11" name="sdDesignUpdaterMaster">
    <vt:lpwstr>BLANK</vt:lpwstr>
  </property>
  <property fmtid="{D5CDD505-2E9C-101B-9397-08002B2CF9AE}" pid="12" name="DocumentNumber">
    <vt:lpwstr>22105231</vt:lpwstr>
  </property>
  <property fmtid="{D5CDD505-2E9C-101B-9397-08002B2CF9AE}" pid="13" name="MatterWorkingType">
    <vt:lpwstr>4;#Anden juridisk sagsbehandling|fc068170-46d3-4b0d-b5b4-ab8eff6004f4</vt:lpwstr>
  </property>
  <property fmtid="{D5CDD505-2E9C-101B-9397-08002B2CF9AE}" pid="14" name="Created">
    <vt:filetime>2015-02-13T08:59:03Z</vt:filetime>
  </property>
  <property fmtid="{D5CDD505-2E9C-101B-9397-08002B2CF9AE}" pid="15" name="SD_KeepOpenIfEmpty">
    <vt:lpwstr>False</vt:lpwstr>
  </property>
  <property fmtid="{D5CDD505-2E9C-101B-9397-08002B2CF9AE}" pid="16" name="ContentTypeId">
    <vt:lpwstr>0x010100FB7AC861EAF9C34EBAF1E10C3DD980B600DAD0A2B5E7C3D3458DAAFABBFE8AAC15</vt:lpwstr>
  </property>
  <property fmtid="{D5CDD505-2E9C-101B-9397-08002B2CF9AE}" pid="17" name="Industry">
    <vt:lpwstr>8;#Varer af træ, glas, porcelæn og læder|3bc79026-500c-4714-a54a-e8cc30e49ce8</vt:lpwstr>
  </property>
  <property fmtid="{D5CDD505-2E9C-101B-9397-08002B2CF9AE}" pid="18" name="SD_MenuGroup">
    <vt:lpwstr>Standard</vt:lpwstr>
  </property>
  <property fmtid="{D5CDD505-2E9C-101B-9397-08002B2CF9AE}" pid="19" name="Modified">
    <vt:filetime>2015-02-13T08:59:03Z</vt:filetime>
  </property>
  <property fmtid="{D5CDD505-2E9C-101B-9397-08002B2CF9AE}" pid="20" name="Editor">
    <vt:lpwstr>21;#Gitte Roulund</vt:lpwstr>
  </property>
  <property fmtid="{D5CDD505-2E9C-101B-9397-08002B2CF9AE}" pid="21" name="_dlc_DocIdItemGuid">
    <vt:lpwstr>1822a61a-d7d7-4e86-8fe5-252efd309248</vt:lpwstr>
  </property>
  <property fmtid="{D5CDD505-2E9C-101B-9397-08002B2CF9AE}" pid="22" name="SD_ShowDocumentInfo">
    <vt:lpwstr>False</vt:lpwstr>
  </property>
  <property fmtid="{D5CDD505-2E9C-101B-9397-08002B2CF9AE}" pid="23" name="Author">
    <vt:lpwstr>8;#Marianne Philip</vt:lpwstr>
  </property>
  <property fmtid="{D5CDD505-2E9C-101B-9397-08002B2CF9AE}" pid="24" name="ContentType">
    <vt:lpwstr>KR Dokument</vt:lpwstr>
  </property>
  <property fmtid="{D5CDD505-2E9C-101B-9397-08002B2CF9AE}" pid="25" name="Title">
    <vt:lpwstr>Letter with macros</vt:lpwstr>
  </property>
  <property fmtid="{D5CDD505-2E9C-101B-9397-08002B2CF9AE}" pid="26" name="ClientName">
    <vt:lpwstr>Dalhoff Larsen &amp; Horneman A/S</vt:lpwstr>
  </property>
  <property fmtid="{D5CDD505-2E9C-101B-9397-08002B2CF9AE}" pid="27" name="ClientCode">
    <vt:lpwstr>9956655</vt:lpwstr>
  </property>
  <property fmtid="{D5CDD505-2E9C-101B-9397-08002B2CF9AE}" pid="28" name="MatterName">
    <vt:lpwstr>Selskabsforhold</vt:lpwstr>
  </property>
  <property fmtid="{D5CDD505-2E9C-101B-9397-08002B2CF9AE}" pid="29" name="MatterCode">
    <vt:lpwstr>1012330</vt:lpwstr>
  </property>
  <property fmtid="{D5CDD505-2E9C-101B-9397-08002B2CF9AE}" pid="30" name="i77e02e517ad4380904fefcb2f88683d">
    <vt:lpwstr>Anden juridisk sagsbehandling|fc068170-46d3-4b0d-b5b4-ab8eff6004f4</vt:lpwstr>
  </property>
  <property fmtid="{D5CDD505-2E9C-101B-9397-08002B2CF9AE}" pid="31" name="DocAuthor">
    <vt:lpwstr>61;#Agnes Catrine Emdal Navntoft</vt:lpwstr>
  </property>
  <property fmtid="{D5CDD505-2E9C-101B-9397-08002B2CF9AE}" pid="32" name="SagansvarligPartner">
    <vt:lpwstr>8;#km\mp</vt:lpwstr>
  </property>
  <property fmtid="{D5CDD505-2E9C-101B-9397-08002B2CF9AE}" pid="33" name="Sagsbehandler">
    <vt:lpwstr>9;#km\phd</vt:lpwstr>
  </property>
  <property fmtid="{D5CDD505-2E9C-101B-9397-08002B2CF9AE}" pid="34" name="d0dbee8a66be48c19e0f40924fd16f7d">
    <vt:lpwstr>Varer af træ, glas, porcelæn og læder|3bc79026-500c-4714-a54a-e8cc30e49ce8</vt:lpwstr>
  </property>
  <property fmtid="{D5CDD505-2E9C-101B-9397-08002B2CF9AE}" pid="35" name="le8093d7c20f4ad09b5130b867639b14">
    <vt:lpwstr>Øvrig selskabsret|8c6e377e-8615-44dd-98e8-3df46160620f</vt:lpwstr>
  </property>
  <property fmtid="{D5CDD505-2E9C-101B-9397-08002B2CF9AE}" pid="36" name="lb3609496df1404cb58d30f667c5e2cb">
    <vt:lpwstr>KR dokumenter|522f9101-2d53-4771-b10e-674edc62ad03</vt:lpwstr>
  </property>
  <property fmtid="{D5CDD505-2E9C-101B-9397-08002B2CF9AE}" pid="37" name="Notes1">
    <vt:lpwstr>Endelig udgave</vt:lpwstr>
  </property>
  <property fmtid="{D5CDD505-2E9C-101B-9397-08002B2CF9AE}" pid="38" name="eDocsNo">
    <vt:lpwstr>22105231</vt:lpwstr>
  </property>
</Properties>
</file>