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46DD" w14:textId="69EA7BB6" w:rsidR="0090423F" w:rsidRPr="00176CEA" w:rsidRDefault="0090423F" w:rsidP="009B5B7A">
      <w:pPr>
        <w:pStyle w:val="LetterheadText"/>
        <w:rPr>
          <w:rFonts w:asciiTheme="minorHAnsi" w:hAnsiTheme="minorHAnsi"/>
        </w:rPr>
      </w:pPr>
      <w:r w:rsidRPr="00176CEA">
        <w:rPr>
          <w:rFonts w:asciiTheme="minorHAnsi" w:hAnsiTheme="minorHAnsi"/>
        </w:rPr>
        <w:drawing>
          <wp:anchor distT="0" distB="0" distL="114300" distR="114300" simplePos="0" relativeHeight="251658240" behindDoc="0" locked="1" layoutInCell="1" allowOverlap="1" wp14:anchorId="1DFE019E" wp14:editId="3490C13F">
            <wp:simplePos x="0" y="0"/>
            <wp:positionH relativeFrom="column">
              <wp:posOffset>4203065</wp:posOffset>
            </wp:positionH>
            <wp:positionV relativeFrom="page">
              <wp:posOffset>330835</wp:posOffset>
            </wp:positionV>
            <wp:extent cx="1673225" cy="481330"/>
            <wp:effectExtent l="0" t="0" r="3175" b="0"/>
            <wp:wrapNone/>
            <wp:docPr id="3"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2005-2010:Desktop:NDAQ_Letterhead_2014:ndaq_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9B4">
        <w:rPr>
          <w:rFonts w:asciiTheme="minorHAnsi" w:hAnsiTheme="minorHAnsi" w:cs="Calibri"/>
          <w:b/>
          <w:sz w:val="20"/>
        </w:rPr>
        <w:tab/>
      </w:r>
      <w:r w:rsidR="007969B4">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Pr="00176CEA">
        <w:rPr>
          <w:rFonts w:asciiTheme="minorHAnsi" w:hAnsiTheme="minorHAnsi" w:cs="Calibri"/>
          <w:b/>
          <w:sz w:val="20"/>
        </w:rPr>
        <w:tab/>
      </w:r>
      <w:r w:rsidR="00C13F5D" w:rsidRPr="002339F2">
        <w:rPr>
          <w:rFonts w:asciiTheme="minorHAnsi" w:hAnsiTheme="minorHAnsi" w:cs="Calibri"/>
          <w:sz w:val="20"/>
        </w:rPr>
        <w:t>2017-04</w:t>
      </w:r>
      <w:r w:rsidR="002339F2" w:rsidRPr="002339F2">
        <w:rPr>
          <w:rFonts w:asciiTheme="minorHAnsi" w:hAnsiTheme="minorHAnsi" w:cs="Calibri"/>
          <w:sz w:val="20"/>
        </w:rPr>
        <w:t>-12</w:t>
      </w:r>
      <w:r w:rsidRPr="00176CEA">
        <w:rPr>
          <w:rFonts w:asciiTheme="minorHAnsi" w:hAnsiTheme="minorHAnsi" w:cs="Calibri"/>
          <w:b/>
          <w:sz w:val="20"/>
        </w:rPr>
        <w:tab/>
      </w:r>
      <w:r w:rsidRPr="00176CEA">
        <w:rPr>
          <w:rFonts w:asciiTheme="minorHAnsi" w:hAnsiTheme="minorHAnsi" w:cs="Calibri"/>
          <w:b/>
          <w:sz w:val="20"/>
        </w:rPr>
        <w:tab/>
      </w:r>
    </w:p>
    <w:p w14:paraId="3F98885E" w14:textId="486A2D3C" w:rsidR="005441F2" w:rsidRPr="00AA1BA7" w:rsidRDefault="0090423F" w:rsidP="00801595">
      <w:pPr>
        <w:rPr>
          <w:rFonts w:ascii="Verdana" w:hAnsi="Verdana" w:cstheme="minorHAnsi"/>
          <w:sz w:val="32"/>
          <w:szCs w:val="28"/>
        </w:rPr>
      </w:pPr>
      <w:r w:rsidRPr="00544001">
        <w:rPr>
          <w:rFonts w:ascii="Verdana" w:hAnsi="Verdana" w:cs="Calibri"/>
          <w:sz w:val="32"/>
          <w:szCs w:val="28"/>
        </w:rPr>
        <w:t xml:space="preserve">IT – </w:t>
      </w:r>
      <w:r w:rsidR="00601855">
        <w:rPr>
          <w:rFonts w:ascii="Verdana" w:hAnsi="Verdana" w:cs="Calibri"/>
          <w:sz w:val="32"/>
          <w:szCs w:val="28"/>
        </w:rPr>
        <w:t>Connectivity</w:t>
      </w:r>
      <w:r w:rsidRPr="00544001">
        <w:rPr>
          <w:rFonts w:ascii="Verdana" w:hAnsi="Verdana" w:cs="Calibri"/>
          <w:sz w:val="32"/>
          <w:szCs w:val="28"/>
        </w:rPr>
        <w:t xml:space="preserve"> –</w:t>
      </w:r>
      <w:r w:rsidR="00601855">
        <w:rPr>
          <w:rFonts w:ascii="Verdana" w:hAnsi="Verdana" w:cs="Calibri"/>
          <w:sz w:val="32"/>
          <w:szCs w:val="28"/>
        </w:rPr>
        <w:t xml:space="preserve"> </w:t>
      </w:r>
      <w:r w:rsidR="00A137D9" w:rsidRPr="00544001">
        <w:rPr>
          <w:rFonts w:ascii="Verdana" w:hAnsi="Verdana" w:cstheme="minorHAnsi"/>
          <w:sz w:val="32"/>
          <w:szCs w:val="28"/>
        </w:rPr>
        <w:t xml:space="preserve">Nasdaq Nordic </w:t>
      </w:r>
      <w:r w:rsidR="005916BE">
        <w:rPr>
          <w:rFonts w:ascii="Verdana" w:hAnsi="Verdana" w:cstheme="minorHAnsi"/>
          <w:sz w:val="32"/>
          <w:szCs w:val="28"/>
        </w:rPr>
        <w:t xml:space="preserve">and Nasdaq Baltic </w:t>
      </w:r>
      <w:r w:rsidR="00AA1BA7">
        <w:rPr>
          <w:rFonts w:ascii="Verdana" w:hAnsi="Verdana" w:cstheme="minorHAnsi"/>
          <w:sz w:val="32"/>
          <w:szCs w:val="28"/>
        </w:rPr>
        <w:t xml:space="preserve">will introduce a new INET MiFID II Test Environment </w:t>
      </w:r>
      <w:r w:rsidR="00601855">
        <w:rPr>
          <w:rFonts w:ascii="Verdana" w:hAnsi="Verdana" w:cstheme="minorHAnsi"/>
          <w:sz w:val="32"/>
          <w:szCs w:val="28"/>
        </w:rPr>
        <w:t>– Connectivity Information</w:t>
      </w:r>
      <w:r w:rsidR="00AA1BA7">
        <w:rPr>
          <w:rFonts w:ascii="Verdana" w:hAnsi="Verdana" w:cstheme="minorHAnsi"/>
          <w:sz w:val="32"/>
          <w:szCs w:val="28"/>
        </w:rPr>
        <w:t xml:space="preserve"> </w:t>
      </w:r>
      <w:r w:rsidR="00F8044F" w:rsidRPr="00544001">
        <w:rPr>
          <w:rFonts w:ascii="Verdana" w:hAnsi="Verdana" w:cstheme="minorHAnsi"/>
          <w:sz w:val="32"/>
          <w:szCs w:val="28"/>
        </w:rPr>
        <w:t>(</w:t>
      </w:r>
      <w:r w:rsidR="00A731B2">
        <w:rPr>
          <w:rFonts w:ascii="Verdana" w:hAnsi="Verdana" w:cstheme="minorHAnsi"/>
          <w:sz w:val="32"/>
          <w:szCs w:val="28"/>
        </w:rPr>
        <w:t>1</w:t>
      </w:r>
      <w:r w:rsidR="002339F2" w:rsidRPr="002339F2">
        <w:rPr>
          <w:rFonts w:ascii="Verdana" w:hAnsi="Verdana" w:cstheme="minorHAnsi"/>
          <w:sz w:val="32"/>
          <w:szCs w:val="28"/>
        </w:rPr>
        <w:t>/17</w:t>
      </w:r>
      <w:r w:rsidR="0030772B" w:rsidRPr="00544001">
        <w:rPr>
          <w:rFonts w:ascii="Verdana" w:hAnsi="Verdana" w:cstheme="minorHAnsi"/>
          <w:sz w:val="32"/>
          <w:szCs w:val="28"/>
        </w:rPr>
        <w:t>)</w:t>
      </w:r>
    </w:p>
    <w:p w14:paraId="6031B944" w14:textId="29A46927" w:rsidR="00350BE5" w:rsidRDefault="00657F59" w:rsidP="00F437FA">
      <w:pPr>
        <w:spacing w:before="100" w:beforeAutospacing="1" w:after="100" w:afterAutospacing="1"/>
        <w:rPr>
          <w:rFonts w:ascii="Verdana" w:hAnsi="Verdana" w:cstheme="minorHAnsi"/>
          <w:sz w:val="20"/>
          <w:lang w:val="en-GB"/>
        </w:rPr>
      </w:pPr>
      <w:r w:rsidRPr="00544001">
        <w:rPr>
          <w:rFonts w:ascii="Verdana" w:hAnsi="Verdana" w:cstheme="minorHAnsi"/>
          <w:sz w:val="20"/>
          <w:lang w:val="en-GB"/>
        </w:rPr>
        <w:t xml:space="preserve">Nasdaq Nordic </w:t>
      </w:r>
      <w:r>
        <w:rPr>
          <w:rFonts w:ascii="Verdana" w:hAnsi="Verdana" w:cstheme="minorHAnsi"/>
          <w:sz w:val="20"/>
          <w:lang w:val="en-GB"/>
        </w:rPr>
        <w:t xml:space="preserve">and Nasdaq Baltic </w:t>
      </w:r>
      <w:r w:rsidRPr="00544001">
        <w:rPr>
          <w:rFonts w:ascii="Verdana" w:hAnsi="Verdana" w:cstheme="minorHAnsi"/>
          <w:sz w:val="20"/>
          <w:lang w:val="en-GB"/>
        </w:rPr>
        <w:t xml:space="preserve">will </w:t>
      </w:r>
      <w:r w:rsidR="00350BE5">
        <w:rPr>
          <w:rFonts w:ascii="Verdana" w:hAnsi="Verdana" w:cstheme="minorHAnsi"/>
          <w:sz w:val="20"/>
          <w:lang w:val="en-GB"/>
        </w:rPr>
        <w:t xml:space="preserve">introduce a new INET test environment, INET Test (M2), to facilitate testing of MiFID II functionality prior to MiFID II comes into force. The new test environment will be available from April 24, 2017. </w:t>
      </w:r>
      <w:r w:rsidR="006B6048">
        <w:rPr>
          <w:rFonts w:ascii="Verdana" w:hAnsi="Verdana" w:cstheme="minorHAnsi"/>
          <w:sz w:val="20"/>
          <w:lang w:val="en-GB"/>
        </w:rPr>
        <w:t xml:space="preserve">See </w:t>
      </w:r>
      <w:hyperlink r:id="rId9" w:history="1">
        <w:r w:rsidR="006B6048" w:rsidRPr="006B6048">
          <w:rPr>
            <w:rStyle w:val="Hyperlink"/>
            <w:rFonts w:ascii="Verdana" w:hAnsi="Verdana" w:cstheme="minorHAnsi"/>
            <w:sz w:val="20"/>
            <w:lang w:val="en-GB"/>
          </w:rPr>
          <w:t>IT-Notice 23/17</w:t>
        </w:r>
      </w:hyperlink>
      <w:r w:rsidR="006B6048">
        <w:rPr>
          <w:rFonts w:ascii="Verdana" w:hAnsi="Verdana" w:cstheme="minorHAnsi"/>
          <w:sz w:val="20"/>
          <w:lang w:val="en-GB"/>
        </w:rPr>
        <w:t>.</w:t>
      </w:r>
    </w:p>
    <w:p w14:paraId="75076CBB" w14:textId="38E327D6" w:rsidR="00620113" w:rsidRDefault="00350BE5" w:rsidP="00AD106D">
      <w:pPr>
        <w:spacing w:before="100" w:beforeAutospacing="1" w:after="100" w:afterAutospacing="1"/>
        <w:jc w:val="both"/>
        <w:rPr>
          <w:rFonts w:ascii="Verdana" w:hAnsi="Verdana" w:cstheme="minorHAnsi"/>
          <w:b/>
          <w:sz w:val="20"/>
          <w:lang w:val="en-GB"/>
        </w:rPr>
      </w:pPr>
      <w:r>
        <w:rPr>
          <w:rFonts w:ascii="Verdana" w:hAnsi="Verdana" w:cstheme="minorHAnsi"/>
          <w:b/>
          <w:sz w:val="20"/>
          <w:lang w:val="en-GB"/>
        </w:rPr>
        <w:t>Connectivity information</w:t>
      </w:r>
    </w:p>
    <w:p w14:paraId="71FB3153" w14:textId="79D2E1E4" w:rsidR="00B664A7" w:rsidRDefault="00D353D6" w:rsidP="00F437FA">
      <w:pPr>
        <w:spacing w:before="100" w:beforeAutospacing="1" w:after="100" w:afterAutospacing="1"/>
        <w:rPr>
          <w:rFonts w:ascii="Verdana" w:hAnsi="Verdana" w:cstheme="minorHAnsi"/>
          <w:sz w:val="20"/>
          <w:lang w:val="en-GB"/>
        </w:rPr>
      </w:pPr>
      <w:r>
        <w:rPr>
          <w:rFonts w:ascii="Verdana" w:hAnsi="Verdana" w:cstheme="minorHAnsi"/>
          <w:sz w:val="20"/>
          <w:lang w:val="en-GB"/>
        </w:rPr>
        <w:t xml:space="preserve">A new subnet, 159.79.70.0/23, for access to the new INET Test (M2) environment is now available at Nasdaq Nordic Primary Site VASBY. ITCH and </w:t>
      </w:r>
      <w:hyperlink r:id="rId10" w:history="1">
        <w:r w:rsidRPr="008556EC">
          <w:rPr>
            <w:rStyle w:val="Hyperlink"/>
            <w:rFonts w:ascii="Verdana" w:hAnsi="Verdana" w:cstheme="minorHAnsi"/>
            <w:sz w:val="20"/>
            <w:lang w:val="en-GB"/>
          </w:rPr>
          <w:t xml:space="preserve">NLS </w:t>
        </w:r>
        <w:r w:rsidR="00B664A7" w:rsidRPr="008556EC">
          <w:rPr>
            <w:rStyle w:val="Hyperlink"/>
            <w:rFonts w:ascii="Verdana" w:hAnsi="Verdana" w:cstheme="minorHAnsi"/>
            <w:sz w:val="20"/>
            <w:lang w:val="en-GB"/>
          </w:rPr>
          <w:t>UDP</w:t>
        </w:r>
      </w:hyperlink>
      <w:r w:rsidR="00B664A7">
        <w:rPr>
          <w:rFonts w:ascii="Verdana" w:hAnsi="Verdana" w:cstheme="minorHAnsi"/>
          <w:sz w:val="20"/>
          <w:lang w:val="en-GB"/>
        </w:rPr>
        <w:t xml:space="preserve"> </w:t>
      </w:r>
      <w:r>
        <w:rPr>
          <w:rFonts w:ascii="Verdana" w:hAnsi="Verdana" w:cstheme="minorHAnsi"/>
          <w:sz w:val="20"/>
          <w:lang w:val="en-GB"/>
        </w:rPr>
        <w:t xml:space="preserve">multicast services will use the existing INET and </w:t>
      </w:r>
      <w:proofErr w:type="spellStart"/>
      <w:r>
        <w:rPr>
          <w:rFonts w:ascii="Verdana" w:hAnsi="Verdana" w:cstheme="minorHAnsi"/>
          <w:sz w:val="20"/>
          <w:lang w:val="en-GB"/>
        </w:rPr>
        <w:t>Genium</w:t>
      </w:r>
      <w:proofErr w:type="spellEnd"/>
      <w:r>
        <w:rPr>
          <w:rFonts w:ascii="Verdana" w:hAnsi="Verdana" w:cstheme="minorHAnsi"/>
          <w:sz w:val="20"/>
          <w:lang w:val="en-GB"/>
        </w:rPr>
        <w:t xml:space="preserve"> INET Test A source subnet 159.79.85.80/28. </w:t>
      </w:r>
    </w:p>
    <w:p w14:paraId="18B59448" w14:textId="70034EF4" w:rsidR="00B664A7" w:rsidRDefault="00B664A7" w:rsidP="00B664A7">
      <w:pPr>
        <w:spacing w:before="100" w:beforeAutospacing="1" w:after="100" w:afterAutospacing="1"/>
        <w:jc w:val="both"/>
        <w:rPr>
          <w:rFonts w:ascii="Verdana" w:hAnsi="Verdana" w:cstheme="minorHAnsi"/>
          <w:sz w:val="20"/>
          <w:lang w:val="en-GB"/>
        </w:rPr>
      </w:pPr>
      <w:r w:rsidRPr="00B664A7">
        <w:rPr>
          <w:rFonts w:ascii="Verdana" w:hAnsi="Verdana" w:cstheme="minorHAnsi"/>
          <w:b/>
          <w:sz w:val="20"/>
          <w:lang w:val="en-GB"/>
        </w:rPr>
        <w:t>Documentation</w:t>
      </w:r>
      <w:bookmarkStart w:id="0" w:name="_GoBack"/>
      <w:bookmarkEnd w:id="0"/>
    </w:p>
    <w:p w14:paraId="2B21A493" w14:textId="47BC5F19" w:rsidR="001535F7" w:rsidRPr="001535F7" w:rsidRDefault="00D52421" w:rsidP="00F437FA">
      <w:pPr>
        <w:spacing w:before="100" w:beforeAutospacing="1" w:after="100" w:afterAutospacing="1"/>
        <w:rPr>
          <w:rFonts w:ascii="Verdana" w:hAnsi="Verdana" w:cstheme="minorHAnsi"/>
          <w:sz w:val="20"/>
          <w:lang w:val="en-GB"/>
        </w:rPr>
      </w:pPr>
      <w:r>
        <w:rPr>
          <w:rFonts w:ascii="Verdana" w:hAnsi="Verdana" w:cstheme="minorHAnsi"/>
          <w:sz w:val="20"/>
          <w:lang w:val="en-GB"/>
        </w:rPr>
        <w:t>Please see</w:t>
      </w:r>
      <w:r w:rsidR="001535F7">
        <w:rPr>
          <w:rFonts w:ascii="Verdana" w:hAnsi="Verdana" w:cstheme="minorHAnsi"/>
          <w:sz w:val="20"/>
          <w:lang w:val="en-GB"/>
        </w:rPr>
        <w:t xml:space="preserve"> </w:t>
      </w:r>
      <w:r w:rsidR="00B90706">
        <w:rPr>
          <w:rFonts w:ascii="Verdana" w:hAnsi="Verdana" w:cstheme="minorHAnsi"/>
          <w:sz w:val="20"/>
          <w:lang w:val="en-GB"/>
        </w:rPr>
        <w:t>new</w:t>
      </w:r>
      <w:r>
        <w:rPr>
          <w:rFonts w:ascii="Verdana" w:hAnsi="Verdana" w:cstheme="minorHAnsi"/>
          <w:sz w:val="20"/>
          <w:lang w:val="en-GB"/>
        </w:rPr>
        <w:t xml:space="preserve"> and </w:t>
      </w:r>
      <w:r w:rsidR="00B90706">
        <w:rPr>
          <w:rFonts w:ascii="Verdana" w:hAnsi="Verdana" w:cstheme="minorHAnsi"/>
          <w:sz w:val="20"/>
          <w:lang w:val="en-GB"/>
        </w:rPr>
        <w:t xml:space="preserve">updated </w:t>
      </w:r>
      <w:r w:rsidR="001535F7">
        <w:rPr>
          <w:rFonts w:ascii="Verdana" w:hAnsi="Verdana" w:cstheme="minorHAnsi"/>
          <w:sz w:val="20"/>
          <w:lang w:val="en-GB"/>
        </w:rPr>
        <w:t xml:space="preserve">documents </w:t>
      </w:r>
      <w:r>
        <w:rPr>
          <w:rFonts w:ascii="Verdana" w:hAnsi="Verdana" w:cstheme="minorHAnsi"/>
          <w:sz w:val="20"/>
          <w:lang w:val="en-GB"/>
        </w:rPr>
        <w:t xml:space="preserve">which </w:t>
      </w:r>
      <w:r w:rsidR="001535F7">
        <w:rPr>
          <w:rFonts w:ascii="Verdana" w:hAnsi="Verdana" w:cstheme="minorHAnsi"/>
          <w:sz w:val="20"/>
          <w:lang w:val="en-GB"/>
        </w:rPr>
        <w:t xml:space="preserve">are available at </w:t>
      </w:r>
      <w:hyperlink r:id="rId11" w:history="1">
        <w:r w:rsidR="001535F7" w:rsidRPr="00B90706">
          <w:rPr>
            <w:rStyle w:val="Hyperlink"/>
            <w:rFonts w:ascii="Verdana" w:hAnsi="Verdana" w:cstheme="minorHAnsi"/>
            <w:sz w:val="20"/>
            <w:lang w:val="en-GB"/>
          </w:rPr>
          <w:t>Nasdaq Nordic Technical Information</w:t>
        </w:r>
      </w:hyperlink>
      <w:r w:rsidR="001535F7">
        <w:rPr>
          <w:rFonts w:ascii="Verdana" w:hAnsi="Verdana" w:cstheme="minorHAnsi"/>
          <w:sz w:val="20"/>
          <w:lang w:val="en-GB"/>
        </w:rPr>
        <w:t xml:space="preserve">, under </w:t>
      </w:r>
      <w:r w:rsidR="00B90706">
        <w:rPr>
          <w:rFonts w:ascii="Verdana" w:hAnsi="Verdana" w:cstheme="minorHAnsi"/>
          <w:sz w:val="20"/>
          <w:lang w:val="en-GB"/>
        </w:rPr>
        <w:t>“</w:t>
      </w:r>
      <w:hyperlink r:id="rId12" w:history="1">
        <w:r w:rsidR="001535F7" w:rsidRPr="00B90706">
          <w:rPr>
            <w:rStyle w:val="Hyperlink"/>
            <w:rFonts w:ascii="Verdana" w:hAnsi="Verdana" w:cstheme="minorHAnsi"/>
            <w:sz w:val="20"/>
            <w:lang w:val="en-GB"/>
          </w:rPr>
          <w:t>Connectivity</w:t>
        </w:r>
      </w:hyperlink>
      <w:r w:rsidR="00B90706">
        <w:rPr>
          <w:rFonts w:ascii="Verdana" w:hAnsi="Verdana" w:cstheme="minorHAnsi"/>
          <w:sz w:val="20"/>
          <w:lang w:val="en-GB"/>
        </w:rPr>
        <w:t>”</w:t>
      </w:r>
      <w:r w:rsidR="001535F7">
        <w:rPr>
          <w:rFonts w:ascii="Verdana" w:hAnsi="Verdana" w:cstheme="minorHAnsi"/>
          <w:sz w:val="20"/>
          <w:lang w:val="en-GB"/>
        </w:rPr>
        <w:t xml:space="preserve"> a</w:t>
      </w:r>
      <w:r w:rsidR="00B90706">
        <w:rPr>
          <w:rFonts w:ascii="Verdana" w:hAnsi="Verdana" w:cstheme="minorHAnsi"/>
          <w:sz w:val="20"/>
          <w:lang w:val="en-GB"/>
        </w:rPr>
        <w:t xml:space="preserve">nd </w:t>
      </w:r>
      <w:r w:rsidR="001535F7">
        <w:rPr>
          <w:rFonts w:ascii="Verdana" w:hAnsi="Verdana" w:cstheme="minorHAnsi"/>
          <w:sz w:val="20"/>
          <w:lang w:val="en-GB"/>
        </w:rPr>
        <w:t xml:space="preserve">under </w:t>
      </w:r>
      <w:r w:rsidR="00B90706">
        <w:rPr>
          <w:rFonts w:ascii="Verdana" w:hAnsi="Verdana" w:cstheme="minorHAnsi"/>
          <w:sz w:val="20"/>
          <w:lang w:val="en-GB"/>
        </w:rPr>
        <w:t>“</w:t>
      </w:r>
      <w:hyperlink r:id="rId13" w:anchor="connectivity_guidelines" w:history="1">
        <w:r w:rsidR="001535F7" w:rsidRPr="00B90706">
          <w:rPr>
            <w:rStyle w:val="Hyperlink"/>
            <w:rFonts w:ascii="Verdana" w:hAnsi="Verdana" w:cstheme="minorHAnsi"/>
            <w:sz w:val="20"/>
            <w:lang w:val="en-GB"/>
          </w:rPr>
          <w:t xml:space="preserve">INET Nordic, Connectivity &amp; Access, </w:t>
        </w:r>
        <w:proofErr w:type="gramStart"/>
        <w:r w:rsidR="001535F7" w:rsidRPr="00B90706">
          <w:rPr>
            <w:rStyle w:val="Hyperlink"/>
            <w:rFonts w:ascii="Verdana" w:hAnsi="Verdana" w:cstheme="minorHAnsi"/>
            <w:sz w:val="20"/>
            <w:lang w:val="en-GB"/>
          </w:rPr>
          <w:t>Connectivity</w:t>
        </w:r>
        <w:proofErr w:type="gramEnd"/>
        <w:r w:rsidR="001535F7" w:rsidRPr="00B90706">
          <w:rPr>
            <w:rStyle w:val="Hyperlink"/>
            <w:rFonts w:ascii="Verdana" w:hAnsi="Verdana" w:cstheme="minorHAnsi"/>
            <w:sz w:val="20"/>
            <w:lang w:val="en-GB"/>
          </w:rPr>
          <w:t xml:space="preserve"> Guidelines</w:t>
        </w:r>
      </w:hyperlink>
      <w:r w:rsidR="001535F7">
        <w:rPr>
          <w:rFonts w:ascii="Verdana" w:hAnsi="Verdana" w:cstheme="minorHAnsi"/>
          <w:sz w:val="20"/>
          <w:lang w:val="en-GB"/>
        </w:rPr>
        <w:t>”</w:t>
      </w:r>
      <w:r w:rsidR="00C052A4">
        <w:rPr>
          <w:rFonts w:ascii="Verdana" w:hAnsi="Verdana" w:cstheme="minorHAnsi"/>
          <w:sz w:val="20"/>
          <w:lang w:val="en-GB"/>
        </w:rPr>
        <w:t>.</w:t>
      </w:r>
    </w:p>
    <w:p w14:paraId="6E87DD5A" w14:textId="315F7DD8" w:rsidR="00B664A7" w:rsidRPr="00455D65" w:rsidRDefault="00B664A7" w:rsidP="00F437FA">
      <w:pPr>
        <w:pStyle w:val="ListParagraph"/>
        <w:numPr>
          <w:ilvl w:val="0"/>
          <w:numId w:val="20"/>
        </w:numPr>
        <w:spacing w:before="100" w:beforeAutospacing="1" w:after="100" w:afterAutospacing="1"/>
        <w:rPr>
          <w:rFonts w:ascii="Verdana" w:hAnsi="Verdana" w:cstheme="minorHAnsi"/>
          <w:i/>
          <w:sz w:val="20"/>
          <w:lang w:val="en-GB"/>
        </w:rPr>
      </w:pPr>
      <w:r w:rsidRPr="00455D65">
        <w:rPr>
          <w:rFonts w:ascii="Verdana" w:hAnsi="Verdana" w:cstheme="minorHAnsi"/>
          <w:i/>
          <w:sz w:val="20"/>
          <w:lang w:val="en-GB"/>
        </w:rPr>
        <w:t>Nasdaq Nordic “Announced IP nets” to providers</w:t>
      </w:r>
    </w:p>
    <w:p w14:paraId="28304F30" w14:textId="7D482AC8" w:rsidR="00B664A7" w:rsidRPr="00455D65" w:rsidRDefault="00620113" w:rsidP="00F437FA">
      <w:pPr>
        <w:pStyle w:val="ListParagraph"/>
        <w:numPr>
          <w:ilvl w:val="0"/>
          <w:numId w:val="20"/>
        </w:numPr>
        <w:spacing w:before="100" w:beforeAutospacing="1" w:after="100" w:afterAutospacing="1"/>
        <w:rPr>
          <w:rFonts w:ascii="Verdana" w:hAnsi="Verdana" w:cstheme="minorHAnsi"/>
          <w:i/>
          <w:sz w:val="20"/>
          <w:lang w:val="en-GB"/>
        </w:rPr>
      </w:pPr>
      <w:r w:rsidRPr="00455D65">
        <w:rPr>
          <w:rFonts w:ascii="Verdana" w:hAnsi="Verdana" w:cstheme="minorHAnsi"/>
          <w:i/>
          <w:sz w:val="20"/>
          <w:lang w:val="en-GB"/>
        </w:rPr>
        <w:t>“Connectivity Guideline INET MiFID II (M2) Test</w:t>
      </w:r>
      <w:r w:rsidR="00B664A7" w:rsidRPr="00455D65">
        <w:rPr>
          <w:rFonts w:ascii="Verdana" w:hAnsi="Verdana" w:cstheme="minorHAnsi"/>
          <w:i/>
          <w:sz w:val="20"/>
          <w:lang w:val="en-GB"/>
        </w:rPr>
        <w:t xml:space="preserve"> – IP addresses and port numbers</w:t>
      </w:r>
      <w:r w:rsidRPr="00455D65">
        <w:rPr>
          <w:rFonts w:ascii="Verdana" w:hAnsi="Verdana" w:cstheme="minorHAnsi"/>
          <w:i/>
          <w:sz w:val="20"/>
          <w:lang w:val="en-GB"/>
        </w:rPr>
        <w:t>”</w:t>
      </w:r>
    </w:p>
    <w:p w14:paraId="04876AE6" w14:textId="77777777" w:rsidR="00B664A7" w:rsidRPr="00455D65" w:rsidRDefault="00B664A7" w:rsidP="00F437FA">
      <w:pPr>
        <w:pStyle w:val="ListParagraph"/>
        <w:numPr>
          <w:ilvl w:val="0"/>
          <w:numId w:val="20"/>
        </w:numPr>
        <w:spacing w:before="100" w:beforeAutospacing="1" w:after="100" w:afterAutospacing="1"/>
        <w:rPr>
          <w:rFonts w:ascii="Verdana" w:hAnsi="Verdana" w:cstheme="minorHAnsi"/>
          <w:i/>
          <w:sz w:val="20"/>
          <w:lang w:val="en-GB"/>
        </w:rPr>
      </w:pPr>
      <w:r w:rsidRPr="00455D65">
        <w:rPr>
          <w:rFonts w:ascii="Verdana" w:hAnsi="Verdana" w:cstheme="minorHAnsi"/>
          <w:i/>
          <w:sz w:val="20"/>
          <w:lang w:val="en-GB"/>
        </w:rPr>
        <w:t>Nasdaq Nordic “Bandwidth recommendations”</w:t>
      </w:r>
    </w:p>
    <w:p w14:paraId="228ECED2" w14:textId="1C435DC6" w:rsidR="00350BE5" w:rsidRDefault="00350BE5" w:rsidP="00AD106D">
      <w:pPr>
        <w:spacing w:before="100" w:beforeAutospacing="1" w:after="100" w:afterAutospacing="1"/>
        <w:jc w:val="both"/>
        <w:rPr>
          <w:rFonts w:ascii="Verdana" w:hAnsi="Verdana" w:cstheme="minorHAnsi"/>
          <w:b/>
          <w:sz w:val="20"/>
          <w:lang w:val="en-GB"/>
        </w:rPr>
      </w:pPr>
      <w:r>
        <w:rPr>
          <w:rFonts w:ascii="Verdana" w:hAnsi="Verdana" w:cstheme="minorHAnsi"/>
          <w:b/>
          <w:sz w:val="20"/>
          <w:lang w:val="en-GB"/>
        </w:rPr>
        <w:t xml:space="preserve">How to order </w:t>
      </w:r>
      <w:r w:rsidR="00A67F8A">
        <w:rPr>
          <w:rFonts w:ascii="Verdana" w:hAnsi="Verdana" w:cstheme="minorHAnsi"/>
          <w:b/>
          <w:sz w:val="20"/>
          <w:lang w:val="en-GB"/>
        </w:rPr>
        <w:t xml:space="preserve">INET Test (M2) </w:t>
      </w:r>
      <w:r w:rsidR="00620113">
        <w:rPr>
          <w:rFonts w:ascii="Verdana" w:hAnsi="Verdana" w:cstheme="minorHAnsi"/>
          <w:b/>
          <w:sz w:val="20"/>
          <w:lang w:val="en-GB"/>
        </w:rPr>
        <w:t>multicast services</w:t>
      </w:r>
    </w:p>
    <w:p w14:paraId="38C94DA6" w14:textId="219E5186" w:rsidR="00320652" w:rsidRDefault="00A84074" w:rsidP="0016350F">
      <w:pPr>
        <w:spacing w:before="100" w:beforeAutospacing="1" w:after="100" w:afterAutospacing="1"/>
        <w:rPr>
          <w:rFonts w:ascii="Verdana" w:hAnsi="Verdana" w:cstheme="minorHAnsi"/>
          <w:sz w:val="20"/>
          <w:lang w:val="en-GB"/>
        </w:rPr>
      </w:pPr>
      <w:r>
        <w:rPr>
          <w:rFonts w:ascii="Verdana" w:hAnsi="Verdana" w:cstheme="minorHAnsi"/>
          <w:sz w:val="20"/>
          <w:lang w:val="en-GB"/>
        </w:rPr>
        <w:t>Connectivity providers and customer</w:t>
      </w:r>
      <w:r w:rsidR="001B18B8">
        <w:rPr>
          <w:rFonts w:ascii="Verdana" w:hAnsi="Verdana" w:cstheme="minorHAnsi"/>
          <w:sz w:val="20"/>
          <w:lang w:val="en-GB"/>
        </w:rPr>
        <w:t>s</w:t>
      </w:r>
      <w:r>
        <w:rPr>
          <w:rFonts w:ascii="Verdana" w:hAnsi="Verdana" w:cstheme="minorHAnsi"/>
          <w:sz w:val="20"/>
          <w:lang w:val="en-GB"/>
        </w:rPr>
        <w:t xml:space="preserve"> who want access to the new</w:t>
      </w:r>
      <w:r w:rsidR="00A67F8A">
        <w:rPr>
          <w:rFonts w:ascii="Verdana" w:hAnsi="Verdana" w:cstheme="minorHAnsi"/>
          <w:sz w:val="20"/>
          <w:lang w:val="en-GB"/>
        </w:rPr>
        <w:t xml:space="preserve"> INET Test (M2)</w:t>
      </w:r>
      <w:r>
        <w:rPr>
          <w:rFonts w:ascii="Verdana" w:hAnsi="Verdana" w:cstheme="minorHAnsi"/>
          <w:sz w:val="20"/>
          <w:lang w:val="en-GB"/>
        </w:rPr>
        <w:t xml:space="preserve"> ITCH </w:t>
      </w:r>
      <w:r w:rsidR="00A67F8A">
        <w:rPr>
          <w:rFonts w:ascii="Verdana" w:hAnsi="Verdana" w:cstheme="minorHAnsi"/>
          <w:sz w:val="20"/>
          <w:lang w:val="en-GB"/>
        </w:rPr>
        <w:t>and NLS Multicast services must</w:t>
      </w:r>
      <w:r>
        <w:rPr>
          <w:rFonts w:ascii="Verdana" w:hAnsi="Verdana" w:cstheme="minorHAnsi"/>
          <w:sz w:val="20"/>
          <w:lang w:val="en-GB"/>
        </w:rPr>
        <w:t xml:space="preserve"> </w:t>
      </w:r>
      <w:r w:rsidR="0061036C">
        <w:rPr>
          <w:rFonts w:ascii="Verdana" w:hAnsi="Verdana" w:cstheme="minorHAnsi"/>
          <w:sz w:val="20"/>
          <w:lang w:val="en-GB"/>
        </w:rPr>
        <w:t xml:space="preserve">contact </w:t>
      </w:r>
      <w:r w:rsidR="00620113">
        <w:rPr>
          <w:rFonts w:ascii="Verdana" w:hAnsi="Verdana" w:cstheme="minorHAnsi"/>
          <w:sz w:val="20"/>
          <w:lang w:val="en-GB"/>
        </w:rPr>
        <w:t xml:space="preserve">Nasdaq Global Information Services (GIS), </w:t>
      </w:r>
      <w:hyperlink r:id="rId14" w:history="1">
        <w:r w:rsidR="00620113" w:rsidRPr="005D46D0">
          <w:rPr>
            <w:rStyle w:val="Hyperlink"/>
            <w:rFonts w:ascii="Verdana" w:hAnsi="Verdana" w:cstheme="minorHAnsi"/>
            <w:sz w:val="20"/>
            <w:lang w:val="en-GB"/>
          </w:rPr>
          <w:t>dataproducts@nasdaq.com</w:t>
        </w:r>
      </w:hyperlink>
      <w:r w:rsidR="00620113">
        <w:rPr>
          <w:rFonts w:ascii="Verdana" w:hAnsi="Verdana" w:cstheme="minorHAnsi"/>
          <w:sz w:val="20"/>
          <w:lang w:val="en-GB"/>
        </w:rPr>
        <w:t xml:space="preserve">. </w:t>
      </w:r>
    </w:p>
    <w:p w14:paraId="1121A785" w14:textId="53244227" w:rsidR="00F82570" w:rsidRDefault="00F82570" w:rsidP="0016350F">
      <w:pPr>
        <w:spacing w:before="100" w:beforeAutospacing="1" w:after="100" w:afterAutospacing="1"/>
        <w:rPr>
          <w:rFonts w:ascii="Verdana" w:hAnsi="Verdana" w:cstheme="minorHAnsi"/>
          <w:sz w:val="20"/>
          <w:lang w:val="en-GB"/>
        </w:rPr>
      </w:pPr>
      <w:r>
        <w:rPr>
          <w:rFonts w:ascii="Verdana" w:hAnsi="Verdana" w:cstheme="minorHAnsi"/>
          <w:sz w:val="20"/>
          <w:lang w:val="en-GB"/>
        </w:rPr>
        <w:t xml:space="preserve">The new subnet, 159.79.70.0/23, is announced to </w:t>
      </w:r>
      <w:proofErr w:type="gramStart"/>
      <w:r>
        <w:rPr>
          <w:rFonts w:ascii="Verdana" w:hAnsi="Verdana" w:cstheme="minorHAnsi"/>
          <w:sz w:val="20"/>
          <w:lang w:val="en-GB"/>
        </w:rPr>
        <w:t>Nasdaq</w:t>
      </w:r>
      <w:proofErr w:type="gramEnd"/>
      <w:r>
        <w:rPr>
          <w:rFonts w:ascii="Verdana" w:hAnsi="Verdana" w:cstheme="minorHAnsi"/>
          <w:sz w:val="20"/>
          <w:lang w:val="en-GB"/>
        </w:rPr>
        <w:t xml:space="preserve"> connectivity providers, customers utilizing Nasdaq NODE services and Nasdaq Co-location customers.</w:t>
      </w:r>
    </w:p>
    <w:p w14:paraId="4D880A09" w14:textId="040934C7" w:rsidR="00F6562F" w:rsidRDefault="00A049F4" w:rsidP="0012571F">
      <w:pPr>
        <w:rPr>
          <w:rFonts w:ascii="Verdana" w:hAnsi="Verdana" w:cs="Arial"/>
          <w:b/>
          <w:sz w:val="20"/>
        </w:rPr>
      </w:pPr>
      <w:r>
        <w:rPr>
          <w:rFonts w:ascii="Verdana" w:hAnsi="Verdana" w:cs="Arial"/>
          <w:b/>
          <w:sz w:val="20"/>
        </w:rPr>
        <w:t>Technical prices</w:t>
      </w:r>
    </w:p>
    <w:p w14:paraId="73E0D650" w14:textId="2DD802B0" w:rsidR="00591444" w:rsidRDefault="00A049F4" w:rsidP="00123B4C">
      <w:pPr>
        <w:spacing w:before="100" w:beforeAutospacing="1" w:after="100" w:afterAutospacing="1"/>
        <w:rPr>
          <w:rFonts w:ascii="Verdana" w:hAnsi="Verdana" w:cstheme="minorHAnsi"/>
          <w:sz w:val="20"/>
          <w:lang w:val="en-GB"/>
        </w:rPr>
        <w:sectPr w:rsidR="00591444" w:rsidSect="00123B4C">
          <w:footnotePr>
            <w:numFmt w:val="chicago"/>
          </w:footnotePr>
          <w:type w:val="continuous"/>
          <w:pgSz w:w="11900" w:h="16840"/>
          <w:pgMar w:top="1440" w:right="1440" w:bottom="1440" w:left="1440" w:header="720" w:footer="720" w:gutter="0"/>
          <w:cols w:space="720"/>
        </w:sectPr>
      </w:pPr>
      <w:r>
        <w:rPr>
          <w:rFonts w:ascii="Verdana" w:hAnsi="Verdana" w:cstheme="minorHAnsi"/>
          <w:sz w:val="20"/>
          <w:lang w:val="en-GB"/>
        </w:rPr>
        <w:t>Technical access fees for INET Test (M2) are initially complimentar</w:t>
      </w:r>
      <w:r w:rsidR="00591444">
        <w:rPr>
          <w:rFonts w:ascii="Verdana" w:hAnsi="Verdana" w:cstheme="minorHAnsi"/>
          <w:sz w:val="20"/>
          <w:lang w:val="en-GB"/>
        </w:rPr>
        <w:t>y</w:t>
      </w:r>
      <w:r w:rsidR="00591444">
        <w:rPr>
          <w:rStyle w:val="FootnoteReference"/>
          <w:rFonts w:ascii="Verdana" w:hAnsi="Verdana" w:cstheme="minorHAnsi"/>
          <w:sz w:val="20"/>
          <w:lang w:val="en-GB"/>
        </w:rPr>
        <w:footnoteReference w:id="1"/>
      </w:r>
      <w:r w:rsidR="00591444">
        <w:rPr>
          <w:rFonts w:ascii="Verdana" w:hAnsi="Verdana" w:cstheme="minorHAnsi"/>
          <w:sz w:val="20"/>
          <w:lang w:val="en-GB"/>
        </w:rPr>
        <w:t xml:space="preserve">. From July 1, 2017, prices are according to the INET Test (NTF) technical fees in the </w:t>
      </w:r>
      <w:hyperlink r:id="rId15" w:history="1">
        <w:r w:rsidR="00591444" w:rsidRPr="00714363">
          <w:rPr>
            <w:rStyle w:val="Hyperlink"/>
            <w:rFonts w:ascii="Verdana" w:hAnsi="Verdana" w:cstheme="minorHAnsi"/>
            <w:sz w:val="20"/>
            <w:lang w:val="en-GB"/>
          </w:rPr>
          <w:t>Nasdaq Nordic Technical Services Pricelist</w:t>
        </w:r>
      </w:hyperlink>
      <w:r w:rsidR="00591444">
        <w:rPr>
          <w:rFonts w:ascii="Verdana" w:hAnsi="Verdana" w:cstheme="minorHAnsi"/>
          <w:sz w:val="20"/>
          <w:lang w:val="en-GB"/>
        </w:rPr>
        <w:t>.</w:t>
      </w:r>
    </w:p>
    <w:p w14:paraId="76F5E464" w14:textId="77777777" w:rsidR="00F6562F" w:rsidRPr="00544001" w:rsidRDefault="00F6562F" w:rsidP="00544001">
      <w:pPr>
        <w:pStyle w:val="Heading2"/>
        <w:rPr>
          <w:rFonts w:ascii="Verdana" w:hAnsi="Verdana"/>
          <w:b/>
          <w:sz w:val="22"/>
          <w:szCs w:val="22"/>
        </w:rPr>
      </w:pPr>
      <w:r w:rsidRPr="00544001">
        <w:rPr>
          <w:rFonts w:ascii="Verdana" w:hAnsi="Verdana"/>
          <w:b/>
          <w:sz w:val="22"/>
          <w:szCs w:val="22"/>
        </w:rPr>
        <w:lastRenderedPageBreak/>
        <w:t>Questions and feedback</w:t>
      </w:r>
    </w:p>
    <w:p w14:paraId="68204892" w14:textId="77777777" w:rsidR="0016350F" w:rsidRDefault="00F6562F" w:rsidP="002065ED">
      <w:pPr>
        <w:rPr>
          <w:rFonts w:ascii="Verdana" w:hAnsi="Verdana"/>
          <w:sz w:val="20"/>
        </w:rPr>
      </w:pPr>
      <w:r w:rsidRPr="00952A48">
        <w:rPr>
          <w:rFonts w:ascii="Verdana" w:hAnsi="Verdana"/>
          <w:sz w:val="20"/>
        </w:rPr>
        <w:t>For further information and feedback concerning this information</w:t>
      </w:r>
      <w:r>
        <w:rPr>
          <w:rFonts w:ascii="Verdana" w:hAnsi="Verdana"/>
          <w:sz w:val="20"/>
        </w:rPr>
        <w:t>,</w:t>
      </w:r>
      <w:r w:rsidR="0016350F">
        <w:rPr>
          <w:rFonts w:ascii="Verdana" w:hAnsi="Verdana"/>
          <w:sz w:val="20"/>
        </w:rPr>
        <w:t xml:space="preserve"> please contact:</w:t>
      </w:r>
    </w:p>
    <w:p w14:paraId="5247CA76" w14:textId="70C100E8" w:rsidR="00014492" w:rsidRPr="002065ED" w:rsidRDefault="00F6562F" w:rsidP="002065ED">
      <w:pPr>
        <w:rPr>
          <w:rFonts w:ascii="Verdana" w:hAnsi="Verdana"/>
          <w:sz w:val="20"/>
        </w:rPr>
      </w:pPr>
      <w:r>
        <w:rPr>
          <w:rFonts w:ascii="Verdana" w:hAnsi="Verdana"/>
          <w:sz w:val="20"/>
        </w:rPr>
        <w:t xml:space="preserve">Ronny </w:t>
      </w:r>
      <w:proofErr w:type="spellStart"/>
      <w:r>
        <w:rPr>
          <w:rFonts w:ascii="Verdana" w:hAnsi="Verdana"/>
          <w:sz w:val="20"/>
        </w:rPr>
        <w:t>Thellman</w:t>
      </w:r>
      <w:proofErr w:type="spellEnd"/>
      <w:r w:rsidR="0016350F">
        <w:rPr>
          <w:rFonts w:ascii="Verdana" w:hAnsi="Verdana"/>
          <w:sz w:val="20"/>
        </w:rPr>
        <w:br/>
        <w:t>Tel: +46 8 405 6313</w:t>
      </w:r>
      <w:r w:rsidR="0016350F">
        <w:rPr>
          <w:rFonts w:ascii="Verdana" w:hAnsi="Verdana"/>
          <w:sz w:val="20"/>
        </w:rPr>
        <w:br/>
        <w:t>E-mail:</w:t>
      </w:r>
      <w:r>
        <w:rPr>
          <w:rFonts w:ascii="Verdana" w:hAnsi="Verdana"/>
          <w:sz w:val="20"/>
        </w:rPr>
        <w:t xml:space="preserve"> </w:t>
      </w:r>
      <w:hyperlink r:id="rId16" w:history="1">
        <w:r w:rsidRPr="007537AA">
          <w:rPr>
            <w:rStyle w:val="Hyperlink"/>
            <w:rFonts w:ascii="Verdana" w:hAnsi="Verdana"/>
            <w:sz w:val="20"/>
          </w:rPr>
          <w:t>ronny.thellman@nasdaq.com</w:t>
        </w:r>
      </w:hyperlink>
      <w:r w:rsidR="00591444">
        <w:rPr>
          <w:rStyle w:val="Hyperlink"/>
          <w:rFonts w:ascii="Verdana" w:hAnsi="Verdana"/>
          <w:sz w:val="20"/>
        </w:rPr>
        <w:t xml:space="preserve"> </w:t>
      </w:r>
      <w:r w:rsidR="00591444">
        <w:rPr>
          <w:rStyle w:val="Hyperlink"/>
          <w:rFonts w:ascii="Verdana" w:hAnsi="Verdana"/>
          <w:sz w:val="20"/>
        </w:rPr>
        <w:br/>
      </w:r>
      <w:r w:rsidR="00CA5BD9">
        <w:rPr>
          <w:rFonts w:ascii="Verdana" w:hAnsi="Verdana"/>
          <w:sz w:val="20"/>
        </w:rPr>
        <w:t xml:space="preserve">or </w:t>
      </w:r>
      <w:hyperlink r:id="rId17" w:history="1">
        <w:r w:rsidR="00CA5BD9" w:rsidRPr="005D46D0">
          <w:rPr>
            <w:rStyle w:val="Hyperlink"/>
            <w:rFonts w:ascii="Verdana" w:hAnsi="Verdana"/>
            <w:sz w:val="20"/>
          </w:rPr>
          <w:t>technicalrelations@nasdaq.com</w:t>
        </w:r>
      </w:hyperlink>
    </w:p>
    <w:p w14:paraId="374CC1C9" w14:textId="77777777" w:rsidR="00591444" w:rsidRDefault="00591444" w:rsidP="0016350F">
      <w:pPr>
        <w:rPr>
          <w:rFonts w:ascii="Verdana" w:hAnsi="Verdana"/>
          <w:sz w:val="20"/>
          <w:szCs w:val="24"/>
        </w:rPr>
      </w:pPr>
    </w:p>
    <w:p w14:paraId="6D8D10BE" w14:textId="77777777" w:rsidR="0016350F" w:rsidRPr="00A67F8A" w:rsidRDefault="0016350F" w:rsidP="0016350F">
      <w:pPr>
        <w:rPr>
          <w:rFonts w:ascii="Verdana" w:hAnsi="Verdana" w:cs="Arial"/>
          <w:sz w:val="20"/>
        </w:rPr>
      </w:pPr>
      <w:r w:rsidRPr="00A67F8A">
        <w:rPr>
          <w:rFonts w:ascii="Verdana" w:hAnsi="Verdana"/>
          <w:sz w:val="20"/>
          <w:szCs w:val="24"/>
        </w:rPr>
        <w:t xml:space="preserve">For any commercial questions </w:t>
      </w:r>
      <w:r w:rsidRPr="00A67F8A">
        <w:rPr>
          <w:rFonts w:ascii="Verdana" w:hAnsi="Verdana" w:cs="Arial"/>
          <w:sz w:val="20"/>
        </w:rPr>
        <w:t>please contact:</w:t>
      </w:r>
    </w:p>
    <w:p w14:paraId="57C82C61" w14:textId="3F3A1F36" w:rsidR="0016350F" w:rsidRPr="00A67F8A" w:rsidRDefault="0016350F" w:rsidP="0016350F">
      <w:pPr>
        <w:spacing w:after="0"/>
        <w:rPr>
          <w:rFonts w:ascii="Verdana" w:eastAsiaTheme="minorEastAsia" w:hAnsi="Verdana"/>
          <w:noProof/>
          <w:sz w:val="20"/>
          <w:lang w:eastAsia="en-US"/>
        </w:rPr>
      </w:pPr>
      <w:r w:rsidRPr="00A67F8A">
        <w:rPr>
          <w:rFonts w:ascii="Verdana" w:eastAsiaTheme="minorEastAsia" w:hAnsi="Verdana"/>
          <w:noProof/>
          <w:sz w:val="20"/>
          <w:lang w:eastAsia="en-US"/>
        </w:rPr>
        <w:t xml:space="preserve">Richard Gaudy </w:t>
      </w:r>
    </w:p>
    <w:p w14:paraId="355B59AF" w14:textId="77777777" w:rsidR="0016350F" w:rsidRPr="00A67F8A" w:rsidRDefault="0016350F" w:rsidP="0016350F">
      <w:pPr>
        <w:spacing w:after="0"/>
        <w:rPr>
          <w:rFonts w:ascii="Verdana" w:eastAsiaTheme="minorEastAsia" w:hAnsi="Verdana"/>
          <w:noProof/>
          <w:sz w:val="20"/>
          <w:lang w:eastAsia="en-US"/>
        </w:rPr>
      </w:pPr>
      <w:r w:rsidRPr="00A67F8A">
        <w:rPr>
          <w:rFonts w:ascii="Verdana" w:eastAsiaTheme="minorEastAsia" w:hAnsi="Verdana"/>
          <w:noProof/>
          <w:sz w:val="20"/>
          <w:lang w:eastAsia="en-US"/>
        </w:rPr>
        <w:t>Head of Sales Europe</w:t>
      </w:r>
    </w:p>
    <w:p w14:paraId="0C8C5D41" w14:textId="77777777" w:rsidR="0016350F" w:rsidRPr="00A67F8A" w:rsidRDefault="0016350F" w:rsidP="0016350F">
      <w:pPr>
        <w:spacing w:after="0"/>
        <w:rPr>
          <w:rFonts w:ascii="Verdana" w:eastAsiaTheme="minorEastAsia" w:hAnsi="Verdana"/>
          <w:noProof/>
          <w:color w:val="000000" w:themeColor="text1"/>
          <w:sz w:val="20"/>
          <w:lang w:eastAsia="en-US"/>
        </w:rPr>
      </w:pPr>
      <w:r w:rsidRPr="00A67F8A">
        <w:rPr>
          <w:rFonts w:ascii="Verdana" w:eastAsiaTheme="minorEastAsia" w:hAnsi="Verdana"/>
          <w:noProof/>
          <w:color w:val="000000" w:themeColor="text1"/>
          <w:sz w:val="20"/>
          <w:lang w:eastAsia="en-US"/>
        </w:rPr>
        <w:t>Global Trade Management Services</w:t>
      </w:r>
    </w:p>
    <w:p w14:paraId="7FE22F72" w14:textId="77777777" w:rsidR="0016350F" w:rsidRDefault="0016350F" w:rsidP="0016350F">
      <w:pPr>
        <w:spacing w:after="0"/>
        <w:rPr>
          <w:rFonts w:ascii="Verdana" w:eastAsiaTheme="minorEastAsia" w:hAnsi="Verdana"/>
          <w:noProof/>
          <w:color w:val="000000" w:themeColor="text1"/>
          <w:sz w:val="20"/>
          <w:lang w:eastAsia="en-US"/>
        </w:rPr>
      </w:pPr>
      <w:r w:rsidRPr="00A67F8A">
        <w:rPr>
          <w:rFonts w:ascii="Verdana" w:eastAsiaTheme="minorEastAsia" w:hAnsi="Verdana"/>
          <w:noProof/>
          <w:color w:val="000000" w:themeColor="text1"/>
          <w:sz w:val="20"/>
          <w:lang w:eastAsia="en-US"/>
        </w:rPr>
        <w:t>Global Connectivity Services</w:t>
      </w:r>
    </w:p>
    <w:p w14:paraId="33CC3D99" w14:textId="2CF2E2A0" w:rsidR="0016350F" w:rsidRDefault="0016350F" w:rsidP="0016350F">
      <w:pPr>
        <w:spacing w:after="0"/>
        <w:rPr>
          <w:rFonts w:ascii="Verdana" w:eastAsiaTheme="minorEastAsia" w:hAnsi="Verdana"/>
          <w:noProof/>
          <w:sz w:val="20"/>
          <w:lang w:eastAsia="en-US"/>
        </w:rPr>
      </w:pPr>
      <w:r>
        <w:rPr>
          <w:rFonts w:ascii="Verdana" w:eastAsiaTheme="minorEastAsia" w:hAnsi="Verdana"/>
          <w:noProof/>
          <w:sz w:val="20"/>
          <w:lang w:eastAsia="en-US"/>
        </w:rPr>
        <w:t>Tel</w:t>
      </w:r>
      <w:r w:rsidRPr="00A67F8A">
        <w:rPr>
          <w:rFonts w:ascii="Verdana" w:eastAsiaTheme="minorEastAsia" w:hAnsi="Verdana"/>
          <w:noProof/>
          <w:sz w:val="20"/>
          <w:lang w:eastAsia="en-US"/>
        </w:rPr>
        <w:t>: +46 8 405 6103</w:t>
      </w:r>
    </w:p>
    <w:p w14:paraId="5AD8FE9F" w14:textId="77777777" w:rsidR="0016350F" w:rsidRDefault="009A5477" w:rsidP="0016350F">
      <w:pPr>
        <w:spacing w:after="0"/>
        <w:rPr>
          <w:rFonts w:ascii="Verdana" w:eastAsiaTheme="minorEastAsia" w:hAnsi="Verdana"/>
          <w:noProof/>
          <w:color w:val="808080"/>
          <w:sz w:val="20"/>
          <w:u w:val="single"/>
          <w:lang w:eastAsia="en-US"/>
        </w:rPr>
      </w:pPr>
      <w:hyperlink r:id="rId18" w:history="1">
        <w:r w:rsidR="0016350F" w:rsidRPr="00A67F8A">
          <w:rPr>
            <w:rFonts w:ascii="Verdana" w:eastAsiaTheme="minorEastAsia" w:hAnsi="Verdana"/>
            <w:noProof/>
            <w:color w:val="808080"/>
            <w:sz w:val="20"/>
            <w:u w:val="single"/>
            <w:lang w:eastAsia="en-US"/>
          </w:rPr>
          <w:t>richard.gaudy@nasdaq.com</w:t>
        </w:r>
      </w:hyperlink>
    </w:p>
    <w:p w14:paraId="4A0FCA84" w14:textId="77777777" w:rsidR="0016350F" w:rsidRPr="00A67F8A" w:rsidRDefault="0016350F" w:rsidP="0016350F">
      <w:pPr>
        <w:spacing w:after="0"/>
        <w:rPr>
          <w:rFonts w:ascii="Verdana" w:eastAsiaTheme="minorEastAsia" w:hAnsi="Verdana"/>
          <w:noProof/>
          <w:color w:val="000000" w:themeColor="text1"/>
          <w:sz w:val="20"/>
          <w:lang w:eastAsia="en-US"/>
        </w:rPr>
      </w:pPr>
    </w:p>
    <w:p w14:paraId="4492FE35" w14:textId="77777777" w:rsidR="008E348C" w:rsidRDefault="008E348C" w:rsidP="00544001">
      <w:pPr>
        <w:pStyle w:val="NormalWeb"/>
        <w:rPr>
          <w:rStyle w:val="Strong"/>
          <w:rFonts w:ascii="Verdana" w:hAnsi="Verdana" w:cs="Arial"/>
          <w:sz w:val="22"/>
          <w:szCs w:val="22"/>
        </w:rPr>
      </w:pPr>
    </w:p>
    <w:p w14:paraId="272EEDB5" w14:textId="77777777" w:rsidR="00AD07A8" w:rsidRPr="00544001" w:rsidRDefault="00AD07A8" w:rsidP="00544001">
      <w:pPr>
        <w:pStyle w:val="NormalWeb"/>
        <w:rPr>
          <w:rFonts w:ascii="Verdana" w:hAnsi="Verdana" w:cs="Arial"/>
          <w:sz w:val="22"/>
          <w:szCs w:val="22"/>
        </w:rPr>
      </w:pPr>
      <w:r w:rsidRPr="00544001">
        <w:rPr>
          <w:rStyle w:val="Strong"/>
          <w:rFonts w:ascii="Verdana" w:hAnsi="Verdana" w:cs="Arial"/>
          <w:sz w:val="22"/>
          <w:szCs w:val="22"/>
        </w:rPr>
        <w:t>Support</w:t>
      </w:r>
    </w:p>
    <w:p w14:paraId="536DE986" w14:textId="458C49DB" w:rsidR="004B3EF5" w:rsidRDefault="00AD07A8" w:rsidP="000E4156">
      <w:pPr>
        <w:pStyle w:val="NormalWeb"/>
        <w:rPr>
          <w:rStyle w:val="Hyperlink"/>
          <w:rFonts w:ascii="Verdana" w:hAnsi="Verdana" w:cs="Arial"/>
          <w:sz w:val="20"/>
          <w:szCs w:val="20"/>
        </w:rPr>
      </w:pPr>
      <w:r w:rsidRPr="00544001">
        <w:rPr>
          <w:rFonts w:ascii="Verdana" w:hAnsi="Verdana" w:cs="Arial"/>
          <w:sz w:val="20"/>
          <w:szCs w:val="20"/>
        </w:rPr>
        <w:t xml:space="preserve">For technical questions, please contact Nasdaq Cash Equity </w:t>
      </w:r>
      <w:r w:rsidR="00CA5BD9">
        <w:rPr>
          <w:rFonts w:ascii="Verdana" w:hAnsi="Verdana" w:cs="Arial"/>
          <w:sz w:val="20"/>
          <w:szCs w:val="20"/>
        </w:rPr>
        <w:t>Operations</w:t>
      </w:r>
      <w:proofErr w:type="gramStart"/>
      <w:r w:rsidR="00CA5BD9">
        <w:rPr>
          <w:rFonts w:ascii="Verdana" w:hAnsi="Verdana" w:cs="Arial"/>
          <w:sz w:val="20"/>
          <w:szCs w:val="20"/>
        </w:rPr>
        <w:t>:</w:t>
      </w:r>
      <w:proofErr w:type="gramEnd"/>
      <w:r w:rsidR="00CA5BD9">
        <w:rPr>
          <w:rFonts w:ascii="Verdana" w:hAnsi="Verdana" w:cs="Arial"/>
          <w:sz w:val="20"/>
          <w:szCs w:val="20"/>
        </w:rPr>
        <w:br/>
        <w:t>Tel: +46 8 405 6410</w:t>
      </w:r>
      <w:r w:rsidRPr="00544001">
        <w:rPr>
          <w:rFonts w:ascii="Verdana" w:hAnsi="Verdana" w:cs="Arial"/>
          <w:sz w:val="20"/>
          <w:szCs w:val="20"/>
        </w:rPr>
        <w:br/>
        <w:t xml:space="preserve">E-mail: </w:t>
      </w:r>
      <w:hyperlink r:id="rId19" w:history="1">
        <w:r w:rsidRPr="00544001">
          <w:rPr>
            <w:rStyle w:val="Hyperlink"/>
            <w:rFonts w:ascii="Verdana" w:hAnsi="Verdana" w:cs="Arial"/>
            <w:sz w:val="20"/>
            <w:szCs w:val="20"/>
          </w:rPr>
          <w:t>operator@nasdaq.com</w:t>
        </w:r>
      </w:hyperlink>
      <w:r w:rsidR="004B3EF5">
        <w:rPr>
          <w:rStyle w:val="Hyperlink"/>
          <w:rFonts w:ascii="Verdana" w:hAnsi="Verdana" w:cs="Arial"/>
          <w:sz w:val="20"/>
          <w:szCs w:val="20"/>
        </w:rPr>
        <w:t xml:space="preserve"> </w:t>
      </w:r>
    </w:p>
    <w:p w14:paraId="324F6F28" w14:textId="77777777" w:rsidR="004B3EF5" w:rsidRDefault="004B3EF5" w:rsidP="000E4156">
      <w:pPr>
        <w:pStyle w:val="NormalWeb"/>
        <w:rPr>
          <w:rFonts w:ascii="Verdana" w:hAnsi="Verdana"/>
          <w:sz w:val="20"/>
        </w:rPr>
      </w:pPr>
      <w:proofErr w:type="gramStart"/>
      <w:r>
        <w:rPr>
          <w:rFonts w:ascii="Verdana" w:hAnsi="Verdana"/>
          <w:sz w:val="20"/>
        </w:rPr>
        <w:t>or</w:t>
      </w:r>
      <w:proofErr w:type="gramEnd"/>
      <w:r>
        <w:rPr>
          <w:rFonts w:ascii="Verdana" w:hAnsi="Verdana"/>
          <w:sz w:val="20"/>
        </w:rPr>
        <w:t xml:space="preserve"> </w:t>
      </w:r>
    </w:p>
    <w:p w14:paraId="17745A73" w14:textId="2C457574" w:rsidR="004B3EF5" w:rsidRPr="004B3EF5" w:rsidRDefault="004B3EF5" w:rsidP="000E4156">
      <w:pPr>
        <w:pStyle w:val="NormalWeb"/>
        <w:rPr>
          <w:rFonts w:ascii="Verdana" w:hAnsi="Verdana" w:cs="Arial"/>
          <w:color w:val="808080"/>
          <w:sz w:val="20"/>
          <w:szCs w:val="20"/>
          <w:u w:val="single"/>
        </w:rPr>
      </w:pPr>
      <w:r>
        <w:rPr>
          <w:rFonts w:ascii="Verdana" w:hAnsi="Verdana"/>
          <w:sz w:val="20"/>
        </w:rPr>
        <w:t>Technical Support – Co-</w:t>
      </w:r>
      <w:r w:rsidR="00CA5BD9">
        <w:rPr>
          <w:rFonts w:ascii="Verdana" w:hAnsi="Verdana"/>
          <w:sz w:val="20"/>
        </w:rPr>
        <w:t>location &amp; NODE services</w:t>
      </w:r>
      <w:proofErr w:type="gramStart"/>
      <w:r w:rsidR="00CA5BD9">
        <w:rPr>
          <w:rFonts w:ascii="Verdana" w:hAnsi="Verdana"/>
          <w:sz w:val="20"/>
        </w:rPr>
        <w:t>:</w:t>
      </w:r>
      <w:proofErr w:type="gramEnd"/>
      <w:r w:rsidR="00CA5BD9">
        <w:rPr>
          <w:rFonts w:ascii="Verdana" w:hAnsi="Verdana"/>
          <w:sz w:val="20"/>
        </w:rPr>
        <w:br/>
        <w:t>Tel: +46 8 405 6980</w:t>
      </w:r>
      <w:r w:rsidR="00CA5BD9">
        <w:rPr>
          <w:rFonts w:ascii="Verdana" w:hAnsi="Verdana"/>
          <w:sz w:val="20"/>
        </w:rPr>
        <w:br/>
        <w:t>E-mail:</w:t>
      </w:r>
      <w:r>
        <w:rPr>
          <w:rFonts w:ascii="Verdana" w:hAnsi="Verdana"/>
          <w:sz w:val="20"/>
        </w:rPr>
        <w:t xml:space="preserve"> </w:t>
      </w:r>
      <w:hyperlink r:id="rId20" w:history="1">
        <w:r w:rsidRPr="005D46D0">
          <w:rPr>
            <w:rStyle w:val="Hyperlink"/>
            <w:rFonts w:ascii="Verdana" w:hAnsi="Verdana"/>
            <w:sz w:val="20"/>
          </w:rPr>
          <w:t>TechOpsEU@nasdaq.com</w:t>
        </w:r>
      </w:hyperlink>
    </w:p>
    <w:p w14:paraId="73FC4BD7" w14:textId="23295D97" w:rsidR="00DB3FB8" w:rsidRPr="001B18B8" w:rsidRDefault="00974FA1" w:rsidP="000E4156">
      <w:pPr>
        <w:pStyle w:val="NormalWeb"/>
        <w:rPr>
          <w:rFonts w:ascii="Verdana" w:hAnsi="Verdana" w:cs="Arial"/>
          <w:sz w:val="22"/>
          <w:szCs w:val="22"/>
        </w:rPr>
      </w:pPr>
      <w:r w:rsidRPr="00544001">
        <w:rPr>
          <w:rFonts w:ascii="Verdana" w:hAnsi="Verdana" w:cs="Arial"/>
          <w:sz w:val="20"/>
          <w:szCs w:val="20"/>
        </w:rPr>
        <w:br/>
      </w:r>
      <w:r w:rsidR="00D52247" w:rsidRPr="00544001">
        <w:rPr>
          <w:rFonts w:ascii="Verdana" w:hAnsi="Verdana" w:cs="Calibri"/>
          <w:sz w:val="20"/>
        </w:rPr>
        <w:br/>
      </w:r>
      <w:r w:rsidR="0090423F" w:rsidRPr="00544001">
        <w:rPr>
          <w:rFonts w:ascii="Verdana" w:hAnsi="Verdana" w:cs="Calibri"/>
          <w:sz w:val="20"/>
        </w:rPr>
        <w:t>Best regards</w:t>
      </w:r>
      <w:proofErr w:type="gramStart"/>
      <w:r w:rsidR="0090423F" w:rsidRPr="00544001">
        <w:rPr>
          <w:rFonts w:ascii="Verdana" w:hAnsi="Verdana" w:cs="Calibri"/>
          <w:sz w:val="20"/>
        </w:rPr>
        <w:t>,</w:t>
      </w:r>
      <w:proofErr w:type="gramEnd"/>
      <w:r w:rsidR="009B5B7A" w:rsidRPr="00544001">
        <w:rPr>
          <w:rFonts w:ascii="Verdana" w:hAnsi="Verdana" w:cs="Calibri"/>
          <w:sz w:val="20"/>
        </w:rPr>
        <w:br/>
      </w:r>
      <w:r w:rsidR="009B5B7A" w:rsidRPr="00544001">
        <w:rPr>
          <w:rFonts w:ascii="Verdana" w:hAnsi="Verdana" w:cs="Calibri"/>
          <w:sz w:val="20"/>
        </w:rPr>
        <w:br/>
      </w:r>
      <w:r w:rsidR="0090423F" w:rsidRPr="0028548C">
        <w:rPr>
          <w:rFonts w:ascii="Verdana" w:hAnsi="Verdana" w:cs="Calibri"/>
          <w:sz w:val="20"/>
          <w:szCs w:val="20"/>
        </w:rPr>
        <w:t>Nasdaq Nordic</w:t>
      </w:r>
      <w:r w:rsidR="002065ED" w:rsidRPr="0028548C">
        <w:rPr>
          <w:rFonts w:ascii="Verdana" w:hAnsi="Verdana" w:cs="Calibri"/>
          <w:sz w:val="20"/>
          <w:szCs w:val="20"/>
        </w:rPr>
        <w:t xml:space="preserve"> and Nasdaq Baltic</w:t>
      </w:r>
    </w:p>
    <w:p w14:paraId="4E61EE41" w14:textId="30F67CA1" w:rsidR="003557A0" w:rsidRPr="00973FF7" w:rsidRDefault="000E4156" w:rsidP="000E4156">
      <w:pPr>
        <w:pStyle w:val="NormalWeb"/>
        <w:rPr>
          <w:rFonts w:asciiTheme="minorHAnsi" w:hAnsiTheme="minorHAnsi" w:cs="Arial"/>
          <w:sz w:val="22"/>
          <w:szCs w:val="22"/>
        </w:rPr>
      </w:pPr>
      <w:r w:rsidRPr="0028548C">
        <w:rPr>
          <w:rFonts w:ascii="Verdana" w:hAnsi="Verdana" w:cs="Calibri"/>
          <w:sz w:val="20"/>
          <w:szCs w:val="20"/>
        </w:rPr>
        <w:br/>
      </w:r>
      <w:r w:rsidR="009B5B7A" w:rsidRPr="0028548C">
        <w:rPr>
          <w:rFonts w:ascii="Verdana" w:hAnsi="Verdana" w:cs="Arial"/>
          <w:sz w:val="20"/>
          <w:szCs w:val="20"/>
        </w:rPr>
        <w:br/>
      </w:r>
      <w:r w:rsidR="002065ED" w:rsidRPr="0028548C">
        <w:rPr>
          <w:rFonts w:ascii="Verdana" w:hAnsi="Verdana" w:cs="Arial"/>
          <w:sz w:val="20"/>
          <w:szCs w:val="20"/>
        </w:rPr>
        <w:t xml:space="preserve">Nasdaq Copenhagen, Nasdaq Helsinki, </w:t>
      </w:r>
      <w:proofErr w:type="gramStart"/>
      <w:r w:rsidR="002065ED" w:rsidRPr="0028548C">
        <w:rPr>
          <w:rFonts w:ascii="Verdana" w:hAnsi="Verdana" w:cs="Arial"/>
          <w:sz w:val="20"/>
          <w:szCs w:val="20"/>
        </w:rPr>
        <w:t>Nasdaq</w:t>
      </w:r>
      <w:proofErr w:type="gramEnd"/>
      <w:r w:rsidR="002065ED" w:rsidRPr="0028548C">
        <w:rPr>
          <w:rFonts w:ascii="Verdana" w:hAnsi="Verdana" w:cs="Arial"/>
          <w:sz w:val="20"/>
          <w:szCs w:val="20"/>
        </w:rPr>
        <w:t xml:space="preserve"> Iceland, Nasdaq Riga, Nasdaq Stockholm, Nasdaq Tallinn and Nasdaq Vilnius are respectively brand names for Nasdaq Copenhagen A/S, Nasdaq Helsinki Ltd, Nasdaq Iceland hf., Nasdaq Riga AS, Nasdaq Stockholm AB, Nasdaq Tallinn AS and AB Nasdaq Vilnius. Nasdaq Nordic represents the common offering by Nasdaq Copenhagen, Nasdaq Helsinki, </w:t>
      </w:r>
      <w:proofErr w:type="gramStart"/>
      <w:r w:rsidR="002065ED" w:rsidRPr="0028548C">
        <w:rPr>
          <w:rFonts w:ascii="Verdana" w:hAnsi="Verdana" w:cs="Arial"/>
          <w:sz w:val="20"/>
          <w:szCs w:val="20"/>
        </w:rPr>
        <w:t>Nasdaq</w:t>
      </w:r>
      <w:proofErr w:type="gramEnd"/>
      <w:r w:rsidR="002065ED" w:rsidRPr="0028548C">
        <w:rPr>
          <w:rFonts w:ascii="Verdana" w:hAnsi="Verdana" w:cs="Arial"/>
          <w:sz w:val="20"/>
          <w:szCs w:val="20"/>
        </w:rPr>
        <w:t xml:space="preserve"> Iceland and Nasdaq Stockholm. Nasdaq Baltic represents the common offering by Nasdaq Tallinn, Nasdaq Riga and Nasdaq Vilnius.</w:t>
      </w:r>
    </w:p>
    <w:sectPr w:rsidR="003557A0" w:rsidRPr="00973FF7" w:rsidSect="00123B4C">
      <w:type w:val="continuous"/>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F5883" w14:textId="77777777" w:rsidR="009A5477" w:rsidRDefault="009A5477" w:rsidP="00922DB4">
      <w:pPr>
        <w:spacing w:after="0"/>
      </w:pPr>
      <w:r>
        <w:separator/>
      </w:r>
    </w:p>
  </w:endnote>
  <w:endnote w:type="continuationSeparator" w:id="0">
    <w:p w14:paraId="4506D175" w14:textId="77777777" w:rsidR="009A5477" w:rsidRDefault="009A5477" w:rsidP="00922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tone Sans Bold">
    <w:altName w:val="Cambria"/>
    <w:charset w:val="00"/>
    <w:family w:val="auto"/>
    <w:pitch w:val="variable"/>
    <w:sig w:usb0="03000000"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BBECB" w14:textId="77777777" w:rsidR="009A5477" w:rsidRDefault="009A5477" w:rsidP="00922DB4">
      <w:pPr>
        <w:spacing w:after="0"/>
      </w:pPr>
      <w:r>
        <w:separator/>
      </w:r>
    </w:p>
  </w:footnote>
  <w:footnote w:type="continuationSeparator" w:id="0">
    <w:p w14:paraId="69C967DF" w14:textId="77777777" w:rsidR="009A5477" w:rsidRDefault="009A5477" w:rsidP="00922DB4">
      <w:pPr>
        <w:spacing w:after="0"/>
      </w:pPr>
      <w:r>
        <w:continuationSeparator/>
      </w:r>
    </w:p>
  </w:footnote>
  <w:footnote w:id="1">
    <w:p w14:paraId="3EFF2D37" w14:textId="65D9CA49" w:rsidR="00591444" w:rsidRPr="00591444" w:rsidRDefault="00591444">
      <w:pPr>
        <w:pStyle w:val="FootnoteText"/>
      </w:pPr>
      <w:r>
        <w:rPr>
          <w:rStyle w:val="FootnoteReference"/>
        </w:rPr>
        <w:footnoteRef/>
      </w:r>
      <w:r>
        <w:t xml:space="preserve"> </w:t>
      </w:r>
      <w:r w:rsidRPr="00591444">
        <w:rPr>
          <w:sz w:val="18"/>
          <w:szCs w:val="16"/>
        </w:rPr>
        <w:t>During the period April 24</w:t>
      </w:r>
      <w:r w:rsidRPr="00591444">
        <w:rPr>
          <w:sz w:val="18"/>
          <w:szCs w:val="16"/>
          <w:vertAlign w:val="superscript"/>
        </w:rPr>
        <w:t>th</w:t>
      </w:r>
      <w:r w:rsidRPr="00591444">
        <w:rPr>
          <w:sz w:val="18"/>
          <w:szCs w:val="16"/>
        </w:rPr>
        <w:t xml:space="preserve"> until June 30</w:t>
      </w:r>
      <w:r w:rsidRPr="00591444">
        <w:rPr>
          <w:sz w:val="18"/>
          <w:szCs w:val="16"/>
          <w:vertAlign w:val="superscript"/>
        </w:rPr>
        <w:t>th</w:t>
      </w:r>
      <w:r w:rsidRPr="00591444">
        <w:rPr>
          <w:sz w:val="18"/>
          <w:szCs w:val="16"/>
        </w:rPr>
        <w:t xml:space="preserve"> </w:t>
      </w:r>
      <w:proofErr w:type="gramStart"/>
      <w:r w:rsidRPr="00591444">
        <w:rPr>
          <w:sz w:val="18"/>
          <w:szCs w:val="16"/>
        </w:rPr>
        <w:t>Nasdaq</w:t>
      </w:r>
      <w:proofErr w:type="gramEnd"/>
      <w:r w:rsidRPr="00591444">
        <w:rPr>
          <w:sz w:val="18"/>
          <w:szCs w:val="16"/>
        </w:rPr>
        <w:t xml:space="preserve"> will charge for one INET test system regardless.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0EA"/>
    <w:multiLevelType w:val="hybridMultilevel"/>
    <w:tmpl w:val="D56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56B"/>
    <w:multiLevelType w:val="hybridMultilevel"/>
    <w:tmpl w:val="985CAF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5A22F3"/>
    <w:multiLevelType w:val="hybridMultilevel"/>
    <w:tmpl w:val="5DD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32943"/>
    <w:multiLevelType w:val="hybridMultilevel"/>
    <w:tmpl w:val="6AFCBE4E"/>
    <w:lvl w:ilvl="0" w:tplc="09A2EF9A">
      <w:numFmt w:val="bullet"/>
      <w:lvlText w:val="-"/>
      <w:lvlJc w:val="left"/>
      <w:pPr>
        <w:ind w:left="405" w:hanging="360"/>
      </w:pPr>
      <w:rPr>
        <w:rFonts w:ascii="Calibri" w:eastAsia="MS Mincho" w:hAnsi="Calibri"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4" w15:restartNumberingAfterBreak="0">
    <w:nsid w:val="0E83779A"/>
    <w:multiLevelType w:val="hybridMultilevel"/>
    <w:tmpl w:val="B87C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85623"/>
    <w:multiLevelType w:val="hybridMultilevel"/>
    <w:tmpl w:val="720E20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162015D"/>
    <w:multiLevelType w:val="hybridMultilevel"/>
    <w:tmpl w:val="F35C90AE"/>
    <w:lvl w:ilvl="0" w:tplc="5EC8A9E2">
      <w:numFmt w:val="bullet"/>
      <w:lvlText w:val="-"/>
      <w:lvlJc w:val="left"/>
      <w:pPr>
        <w:ind w:left="360" w:hanging="360"/>
      </w:pPr>
      <w:rPr>
        <w:rFonts w:ascii="Calibri" w:eastAsia="MS Mincho" w:hAnsi="Calibri" w:cs="Verdana"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2BE432D"/>
    <w:multiLevelType w:val="hybridMultilevel"/>
    <w:tmpl w:val="9BBA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35B4F"/>
    <w:multiLevelType w:val="hybridMultilevel"/>
    <w:tmpl w:val="5A7CD8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47166EC"/>
    <w:multiLevelType w:val="multilevel"/>
    <w:tmpl w:val="7E5E4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349C9"/>
    <w:multiLevelType w:val="hybridMultilevel"/>
    <w:tmpl w:val="23D4EB56"/>
    <w:lvl w:ilvl="0" w:tplc="2F9CD4B0">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4050362"/>
    <w:multiLevelType w:val="hybridMultilevel"/>
    <w:tmpl w:val="56EC06EE"/>
    <w:lvl w:ilvl="0" w:tplc="08C0E93C">
      <w:numFmt w:val="bullet"/>
      <w:lvlText w:val=""/>
      <w:lvlJc w:val="left"/>
      <w:pPr>
        <w:ind w:left="720" w:hanging="360"/>
      </w:pPr>
      <w:rPr>
        <w:rFonts w:ascii="Symbol" w:eastAsia="MS Mincho"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0F4DEF"/>
    <w:multiLevelType w:val="hybridMultilevel"/>
    <w:tmpl w:val="F97EF876"/>
    <w:lvl w:ilvl="0" w:tplc="5FEAE814">
      <w:numFmt w:val="bullet"/>
      <w:lvlText w:val="-"/>
      <w:lvlJc w:val="left"/>
      <w:pPr>
        <w:ind w:left="720" w:hanging="360"/>
      </w:pPr>
      <w:rPr>
        <w:rFonts w:ascii="Calibri" w:eastAsia="MS Mincho"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B11944"/>
    <w:multiLevelType w:val="hybridMultilevel"/>
    <w:tmpl w:val="0896BD5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4" w15:restartNumberingAfterBreak="0">
    <w:nsid w:val="4BD97B44"/>
    <w:multiLevelType w:val="hybridMultilevel"/>
    <w:tmpl w:val="74F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77889"/>
    <w:multiLevelType w:val="hybridMultilevel"/>
    <w:tmpl w:val="388C9DCA"/>
    <w:lvl w:ilvl="0" w:tplc="040B0001">
      <w:start w:val="1"/>
      <w:numFmt w:val="bullet"/>
      <w:lvlText w:val=""/>
      <w:lvlJc w:val="left"/>
      <w:pPr>
        <w:ind w:left="820" w:hanging="360"/>
      </w:pPr>
      <w:rPr>
        <w:rFonts w:ascii="Symbol" w:hAnsi="Symbol"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16" w15:restartNumberingAfterBreak="0">
    <w:nsid w:val="53ED7816"/>
    <w:multiLevelType w:val="hybridMultilevel"/>
    <w:tmpl w:val="5484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92E22"/>
    <w:multiLevelType w:val="hybridMultilevel"/>
    <w:tmpl w:val="3598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46CE9"/>
    <w:multiLevelType w:val="hybridMultilevel"/>
    <w:tmpl w:val="D2EC4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1"/>
  </w:num>
  <w:num w:numId="5">
    <w:abstractNumId w:val="9"/>
  </w:num>
  <w:num w:numId="6">
    <w:abstractNumId w:val="10"/>
  </w:num>
  <w:num w:numId="7">
    <w:abstractNumId w:val="6"/>
  </w:num>
  <w:num w:numId="8">
    <w:abstractNumId w:val="4"/>
  </w:num>
  <w:num w:numId="9">
    <w:abstractNumId w:val="12"/>
  </w:num>
  <w:num w:numId="10">
    <w:abstractNumId w:val="3"/>
  </w:num>
  <w:num w:numId="11">
    <w:abstractNumId w:val="6"/>
  </w:num>
  <w:num w:numId="12">
    <w:abstractNumId w:val="14"/>
  </w:num>
  <w:num w:numId="13">
    <w:abstractNumId w:val="2"/>
  </w:num>
  <w:num w:numId="14">
    <w:abstractNumId w:val="16"/>
  </w:num>
  <w:num w:numId="15">
    <w:abstractNumId w:val="5"/>
  </w:num>
  <w:num w:numId="16">
    <w:abstractNumId w:val="13"/>
  </w:num>
  <w:num w:numId="17">
    <w:abstractNumId w:val="18"/>
  </w:num>
  <w:num w:numId="18">
    <w:abstractNumId w:val="7"/>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07"/>
    <w:rsid w:val="00000A1E"/>
    <w:rsid w:val="00000B89"/>
    <w:rsid w:val="00013E15"/>
    <w:rsid w:val="00014179"/>
    <w:rsid w:val="00014492"/>
    <w:rsid w:val="0002243E"/>
    <w:rsid w:val="0003593F"/>
    <w:rsid w:val="0004267E"/>
    <w:rsid w:val="000470B7"/>
    <w:rsid w:val="00052CF0"/>
    <w:rsid w:val="0005389D"/>
    <w:rsid w:val="00053978"/>
    <w:rsid w:val="00056E66"/>
    <w:rsid w:val="00060741"/>
    <w:rsid w:val="0006093C"/>
    <w:rsid w:val="0006356F"/>
    <w:rsid w:val="000645BD"/>
    <w:rsid w:val="000664A5"/>
    <w:rsid w:val="00072CAD"/>
    <w:rsid w:val="00075CA1"/>
    <w:rsid w:val="0008614D"/>
    <w:rsid w:val="000A1A20"/>
    <w:rsid w:val="000A2B8B"/>
    <w:rsid w:val="000A7F5C"/>
    <w:rsid w:val="000B6BC5"/>
    <w:rsid w:val="000C072C"/>
    <w:rsid w:val="000C67B3"/>
    <w:rsid w:val="000D37BA"/>
    <w:rsid w:val="000D3DE9"/>
    <w:rsid w:val="000E3E47"/>
    <w:rsid w:val="000E4156"/>
    <w:rsid w:val="000F1009"/>
    <w:rsid w:val="00114D85"/>
    <w:rsid w:val="00123B4C"/>
    <w:rsid w:val="0012571F"/>
    <w:rsid w:val="00130C11"/>
    <w:rsid w:val="001532EA"/>
    <w:rsid w:val="001535F7"/>
    <w:rsid w:val="001606A9"/>
    <w:rsid w:val="0016350F"/>
    <w:rsid w:val="0016798B"/>
    <w:rsid w:val="001725F6"/>
    <w:rsid w:val="00176CEA"/>
    <w:rsid w:val="00184B40"/>
    <w:rsid w:val="0018596F"/>
    <w:rsid w:val="00192588"/>
    <w:rsid w:val="00194D85"/>
    <w:rsid w:val="001962BF"/>
    <w:rsid w:val="001A1A94"/>
    <w:rsid w:val="001A6CDB"/>
    <w:rsid w:val="001B18B8"/>
    <w:rsid w:val="001B424C"/>
    <w:rsid w:val="001B7A0C"/>
    <w:rsid w:val="001D08FC"/>
    <w:rsid w:val="001D32E1"/>
    <w:rsid w:val="001D3A4F"/>
    <w:rsid w:val="001D7D07"/>
    <w:rsid w:val="001E50FC"/>
    <w:rsid w:val="0020067B"/>
    <w:rsid w:val="002065ED"/>
    <w:rsid w:val="00207560"/>
    <w:rsid w:val="00210348"/>
    <w:rsid w:val="00210BD9"/>
    <w:rsid w:val="00211681"/>
    <w:rsid w:val="00211D09"/>
    <w:rsid w:val="00213BA6"/>
    <w:rsid w:val="002277AD"/>
    <w:rsid w:val="00227F98"/>
    <w:rsid w:val="00230511"/>
    <w:rsid w:val="002316B4"/>
    <w:rsid w:val="002339F2"/>
    <w:rsid w:val="00235F58"/>
    <w:rsid w:val="0024000C"/>
    <w:rsid w:val="00244895"/>
    <w:rsid w:val="002654C3"/>
    <w:rsid w:val="00266C35"/>
    <w:rsid w:val="002706BD"/>
    <w:rsid w:val="00271747"/>
    <w:rsid w:val="00273AF9"/>
    <w:rsid w:val="00273F2A"/>
    <w:rsid w:val="0028083A"/>
    <w:rsid w:val="00282C29"/>
    <w:rsid w:val="0028548C"/>
    <w:rsid w:val="002860FD"/>
    <w:rsid w:val="002869BC"/>
    <w:rsid w:val="002901FF"/>
    <w:rsid w:val="00292F8C"/>
    <w:rsid w:val="002A1908"/>
    <w:rsid w:val="002A2907"/>
    <w:rsid w:val="002A5C7E"/>
    <w:rsid w:val="002A6922"/>
    <w:rsid w:val="002B0EAF"/>
    <w:rsid w:val="002B3D00"/>
    <w:rsid w:val="002B44B9"/>
    <w:rsid w:val="002B4B13"/>
    <w:rsid w:val="002B55CB"/>
    <w:rsid w:val="002B7F4D"/>
    <w:rsid w:val="002C62F8"/>
    <w:rsid w:val="002C7F2D"/>
    <w:rsid w:val="002D6A28"/>
    <w:rsid w:val="002E1140"/>
    <w:rsid w:val="002E13C6"/>
    <w:rsid w:val="002E2820"/>
    <w:rsid w:val="002E383E"/>
    <w:rsid w:val="002E5C2F"/>
    <w:rsid w:val="002F0038"/>
    <w:rsid w:val="002F03DB"/>
    <w:rsid w:val="002F3119"/>
    <w:rsid w:val="0030224F"/>
    <w:rsid w:val="00303504"/>
    <w:rsid w:val="00306B21"/>
    <w:rsid w:val="0030772B"/>
    <w:rsid w:val="00307FD8"/>
    <w:rsid w:val="0031493A"/>
    <w:rsid w:val="003154BA"/>
    <w:rsid w:val="00320652"/>
    <w:rsid w:val="003214A4"/>
    <w:rsid w:val="00327965"/>
    <w:rsid w:val="003434D1"/>
    <w:rsid w:val="00346284"/>
    <w:rsid w:val="00347BC8"/>
    <w:rsid w:val="00350BE5"/>
    <w:rsid w:val="003539A5"/>
    <w:rsid w:val="003557A0"/>
    <w:rsid w:val="00363847"/>
    <w:rsid w:val="00364CE5"/>
    <w:rsid w:val="003669DA"/>
    <w:rsid w:val="00387C99"/>
    <w:rsid w:val="00392E95"/>
    <w:rsid w:val="003A3CB0"/>
    <w:rsid w:val="003B47E6"/>
    <w:rsid w:val="003B7AF2"/>
    <w:rsid w:val="003B7ED3"/>
    <w:rsid w:val="003C6B6B"/>
    <w:rsid w:val="003E424F"/>
    <w:rsid w:val="003E43E9"/>
    <w:rsid w:val="003E5633"/>
    <w:rsid w:val="003E738D"/>
    <w:rsid w:val="003F2D39"/>
    <w:rsid w:val="00400CAE"/>
    <w:rsid w:val="00404998"/>
    <w:rsid w:val="00410E37"/>
    <w:rsid w:val="00411E95"/>
    <w:rsid w:val="0041248F"/>
    <w:rsid w:val="00416C53"/>
    <w:rsid w:val="00416C6F"/>
    <w:rsid w:val="004216C2"/>
    <w:rsid w:val="00422665"/>
    <w:rsid w:val="00423836"/>
    <w:rsid w:val="00442BD7"/>
    <w:rsid w:val="00445F88"/>
    <w:rsid w:val="00446EBC"/>
    <w:rsid w:val="00450DF1"/>
    <w:rsid w:val="00455D65"/>
    <w:rsid w:val="004576EC"/>
    <w:rsid w:val="00473660"/>
    <w:rsid w:val="00480632"/>
    <w:rsid w:val="00490105"/>
    <w:rsid w:val="00496170"/>
    <w:rsid w:val="004972EA"/>
    <w:rsid w:val="00497A80"/>
    <w:rsid w:val="004A1EBA"/>
    <w:rsid w:val="004A6744"/>
    <w:rsid w:val="004B103A"/>
    <w:rsid w:val="004B3EF5"/>
    <w:rsid w:val="004B4693"/>
    <w:rsid w:val="004C73DE"/>
    <w:rsid w:val="004E4FB4"/>
    <w:rsid w:val="004F22B5"/>
    <w:rsid w:val="004F4032"/>
    <w:rsid w:val="00500C6E"/>
    <w:rsid w:val="0050396D"/>
    <w:rsid w:val="00507E86"/>
    <w:rsid w:val="00515F24"/>
    <w:rsid w:val="005223D0"/>
    <w:rsid w:val="00526574"/>
    <w:rsid w:val="0052708D"/>
    <w:rsid w:val="00532BA8"/>
    <w:rsid w:val="00534266"/>
    <w:rsid w:val="00534337"/>
    <w:rsid w:val="00543076"/>
    <w:rsid w:val="00544001"/>
    <w:rsid w:val="005441F2"/>
    <w:rsid w:val="00547A77"/>
    <w:rsid w:val="0055398E"/>
    <w:rsid w:val="00560E36"/>
    <w:rsid w:val="005676AF"/>
    <w:rsid w:val="005745D9"/>
    <w:rsid w:val="00582DA5"/>
    <w:rsid w:val="00591444"/>
    <w:rsid w:val="005916BE"/>
    <w:rsid w:val="00593AE2"/>
    <w:rsid w:val="00596200"/>
    <w:rsid w:val="005A396A"/>
    <w:rsid w:val="005A488E"/>
    <w:rsid w:val="005A75EC"/>
    <w:rsid w:val="005B1CC8"/>
    <w:rsid w:val="005B208F"/>
    <w:rsid w:val="005B3C9A"/>
    <w:rsid w:val="005B417E"/>
    <w:rsid w:val="005D4878"/>
    <w:rsid w:val="005E22EB"/>
    <w:rsid w:val="005F4112"/>
    <w:rsid w:val="005F6DF2"/>
    <w:rsid w:val="00601855"/>
    <w:rsid w:val="00601D88"/>
    <w:rsid w:val="006021EF"/>
    <w:rsid w:val="0061036C"/>
    <w:rsid w:val="00610B48"/>
    <w:rsid w:val="00613F78"/>
    <w:rsid w:val="00620113"/>
    <w:rsid w:val="006228AD"/>
    <w:rsid w:val="00631AFD"/>
    <w:rsid w:val="00634239"/>
    <w:rsid w:val="00641244"/>
    <w:rsid w:val="00641F8B"/>
    <w:rsid w:val="00646243"/>
    <w:rsid w:val="006501D7"/>
    <w:rsid w:val="00655ED6"/>
    <w:rsid w:val="0065782C"/>
    <w:rsid w:val="00657F59"/>
    <w:rsid w:val="00661542"/>
    <w:rsid w:val="006615E5"/>
    <w:rsid w:val="0066413E"/>
    <w:rsid w:val="00670D8C"/>
    <w:rsid w:val="00677BE6"/>
    <w:rsid w:val="00680A96"/>
    <w:rsid w:val="00680DB1"/>
    <w:rsid w:val="00683257"/>
    <w:rsid w:val="00692E41"/>
    <w:rsid w:val="00692F7B"/>
    <w:rsid w:val="00696F62"/>
    <w:rsid w:val="006A2A1C"/>
    <w:rsid w:val="006B6048"/>
    <w:rsid w:val="006B728C"/>
    <w:rsid w:val="006D5C3E"/>
    <w:rsid w:val="006E2E6F"/>
    <w:rsid w:val="006E34E9"/>
    <w:rsid w:val="006F7B35"/>
    <w:rsid w:val="0070010E"/>
    <w:rsid w:val="00700C38"/>
    <w:rsid w:val="0070576C"/>
    <w:rsid w:val="00706AA4"/>
    <w:rsid w:val="00714363"/>
    <w:rsid w:val="007229B8"/>
    <w:rsid w:val="00722B52"/>
    <w:rsid w:val="00724403"/>
    <w:rsid w:val="0072559E"/>
    <w:rsid w:val="007379E3"/>
    <w:rsid w:val="007406A2"/>
    <w:rsid w:val="007526DC"/>
    <w:rsid w:val="00755C40"/>
    <w:rsid w:val="007668BA"/>
    <w:rsid w:val="007712B4"/>
    <w:rsid w:val="007714C5"/>
    <w:rsid w:val="0077157A"/>
    <w:rsid w:val="00774B11"/>
    <w:rsid w:val="007778DE"/>
    <w:rsid w:val="00780BCF"/>
    <w:rsid w:val="00787DFE"/>
    <w:rsid w:val="0079301F"/>
    <w:rsid w:val="007960B5"/>
    <w:rsid w:val="007962A4"/>
    <w:rsid w:val="007969B4"/>
    <w:rsid w:val="007A1A28"/>
    <w:rsid w:val="007A2178"/>
    <w:rsid w:val="007A4D10"/>
    <w:rsid w:val="007A73B3"/>
    <w:rsid w:val="007B128C"/>
    <w:rsid w:val="007B63F4"/>
    <w:rsid w:val="007B6D31"/>
    <w:rsid w:val="007C3423"/>
    <w:rsid w:val="007C791B"/>
    <w:rsid w:val="007D1F72"/>
    <w:rsid w:val="007E4193"/>
    <w:rsid w:val="007E5092"/>
    <w:rsid w:val="007E60DD"/>
    <w:rsid w:val="007F058F"/>
    <w:rsid w:val="007F58F0"/>
    <w:rsid w:val="007F6EDA"/>
    <w:rsid w:val="008007FE"/>
    <w:rsid w:val="00801595"/>
    <w:rsid w:val="008104C5"/>
    <w:rsid w:val="00827C91"/>
    <w:rsid w:val="00831EFF"/>
    <w:rsid w:val="00836693"/>
    <w:rsid w:val="0083708F"/>
    <w:rsid w:val="00843AE6"/>
    <w:rsid w:val="0084414F"/>
    <w:rsid w:val="00854411"/>
    <w:rsid w:val="008556EC"/>
    <w:rsid w:val="008562C3"/>
    <w:rsid w:val="00860012"/>
    <w:rsid w:val="00860B25"/>
    <w:rsid w:val="00861434"/>
    <w:rsid w:val="00870543"/>
    <w:rsid w:val="00871BA4"/>
    <w:rsid w:val="008723D3"/>
    <w:rsid w:val="00873999"/>
    <w:rsid w:val="00883023"/>
    <w:rsid w:val="00886D9A"/>
    <w:rsid w:val="00887950"/>
    <w:rsid w:val="00892529"/>
    <w:rsid w:val="008A2707"/>
    <w:rsid w:val="008A57E9"/>
    <w:rsid w:val="008B46FC"/>
    <w:rsid w:val="008B4E95"/>
    <w:rsid w:val="008B6F34"/>
    <w:rsid w:val="008C181D"/>
    <w:rsid w:val="008C3DC8"/>
    <w:rsid w:val="008C5299"/>
    <w:rsid w:val="008D45CD"/>
    <w:rsid w:val="008D57A7"/>
    <w:rsid w:val="008E26FA"/>
    <w:rsid w:val="008E348C"/>
    <w:rsid w:val="008E5F8F"/>
    <w:rsid w:val="008F1667"/>
    <w:rsid w:val="0090015F"/>
    <w:rsid w:val="00900624"/>
    <w:rsid w:val="00902D2B"/>
    <w:rsid w:val="0090423F"/>
    <w:rsid w:val="009139DC"/>
    <w:rsid w:val="00914585"/>
    <w:rsid w:val="009207A0"/>
    <w:rsid w:val="009217EC"/>
    <w:rsid w:val="00922DB4"/>
    <w:rsid w:val="00926793"/>
    <w:rsid w:val="00932450"/>
    <w:rsid w:val="00933137"/>
    <w:rsid w:val="0093362D"/>
    <w:rsid w:val="0095068D"/>
    <w:rsid w:val="00950911"/>
    <w:rsid w:val="00953A16"/>
    <w:rsid w:val="00955AB7"/>
    <w:rsid w:val="009638DF"/>
    <w:rsid w:val="009666E7"/>
    <w:rsid w:val="0096746C"/>
    <w:rsid w:val="00970776"/>
    <w:rsid w:val="00973FF7"/>
    <w:rsid w:val="00974FA1"/>
    <w:rsid w:val="00974FF4"/>
    <w:rsid w:val="009762D4"/>
    <w:rsid w:val="00976964"/>
    <w:rsid w:val="00977006"/>
    <w:rsid w:val="00984171"/>
    <w:rsid w:val="00986F94"/>
    <w:rsid w:val="00992CFF"/>
    <w:rsid w:val="00996F54"/>
    <w:rsid w:val="009A06D0"/>
    <w:rsid w:val="009A2685"/>
    <w:rsid w:val="009A4812"/>
    <w:rsid w:val="009A5477"/>
    <w:rsid w:val="009B0DB3"/>
    <w:rsid w:val="009B5B7A"/>
    <w:rsid w:val="009B714F"/>
    <w:rsid w:val="009B7B80"/>
    <w:rsid w:val="009B7F80"/>
    <w:rsid w:val="009C2E6F"/>
    <w:rsid w:val="009D3CB5"/>
    <w:rsid w:val="009E3CF2"/>
    <w:rsid w:val="009F1F82"/>
    <w:rsid w:val="009F3A2B"/>
    <w:rsid w:val="009F5245"/>
    <w:rsid w:val="00A049F4"/>
    <w:rsid w:val="00A1030E"/>
    <w:rsid w:val="00A1331C"/>
    <w:rsid w:val="00A137D9"/>
    <w:rsid w:val="00A15211"/>
    <w:rsid w:val="00A2245A"/>
    <w:rsid w:val="00A25358"/>
    <w:rsid w:val="00A255DE"/>
    <w:rsid w:val="00A34B7A"/>
    <w:rsid w:val="00A41D20"/>
    <w:rsid w:val="00A42F80"/>
    <w:rsid w:val="00A43130"/>
    <w:rsid w:val="00A50727"/>
    <w:rsid w:val="00A51164"/>
    <w:rsid w:val="00A53C92"/>
    <w:rsid w:val="00A560F4"/>
    <w:rsid w:val="00A62E85"/>
    <w:rsid w:val="00A67F8A"/>
    <w:rsid w:val="00A70102"/>
    <w:rsid w:val="00A72AB1"/>
    <w:rsid w:val="00A731B2"/>
    <w:rsid w:val="00A73789"/>
    <w:rsid w:val="00A74436"/>
    <w:rsid w:val="00A74AFA"/>
    <w:rsid w:val="00A74D25"/>
    <w:rsid w:val="00A80B0A"/>
    <w:rsid w:val="00A8126B"/>
    <w:rsid w:val="00A84074"/>
    <w:rsid w:val="00A84DF7"/>
    <w:rsid w:val="00A86FB5"/>
    <w:rsid w:val="00A9139D"/>
    <w:rsid w:val="00A91FC7"/>
    <w:rsid w:val="00A92314"/>
    <w:rsid w:val="00A967D2"/>
    <w:rsid w:val="00AA1BA7"/>
    <w:rsid w:val="00AA47A6"/>
    <w:rsid w:val="00AD07A8"/>
    <w:rsid w:val="00AD0E39"/>
    <w:rsid w:val="00AD0FC8"/>
    <w:rsid w:val="00AD106D"/>
    <w:rsid w:val="00AE0C9D"/>
    <w:rsid w:val="00AE5101"/>
    <w:rsid w:val="00AE616F"/>
    <w:rsid w:val="00AF614B"/>
    <w:rsid w:val="00B0609C"/>
    <w:rsid w:val="00B1266B"/>
    <w:rsid w:val="00B16880"/>
    <w:rsid w:val="00B3517A"/>
    <w:rsid w:val="00B359FE"/>
    <w:rsid w:val="00B41024"/>
    <w:rsid w:val="00B457AA"/>
    <w:rsid w:val="00B577C1"/>
    <w:rsid w:val="00B664A7"/>
    <w:rsid w:val="00B75C90"/>
    <w:rsid w:val="00B81059"/>
    <w:rsid w:val="00B866FF"/>
    <w:rsid w:val="00B90706"/>
    <w:rsid w:val="00B939F4"/>
    <w:rsid w:val="00BA29BF"/>
    <w:rsid w:val="00BA3088"/>
    <w:rsid w:val="00BA6B03"/>
    <w:rsid w:val="00BC7203"/>
    <w:rsid w:val="00BD3581"/>
    <w:rsid w:val="00BD5807"/>
    <w:rsid w:val="00BD5935"/>
    <w:rsid w:val="00BE150A"/>
    <w:rsid w:val="00BE1724"/>
    <w:rsid w:val="00BF01FE"/>
    <w:rsid w:val="00BF3505"/>
    <w:rsid w:val="00C00BCF"/>
    <w:rsid w:val="00C01592"/>
    <w:rsid w:val="00C052A4"/>
    <w:rsid w:val="00C059C3"/>
    <w:rsid w:val="00C07588"/>
    <w:rsid w:val="00C123B6"/>
    <w:rsid w:val="00C13F5D"/>
    <w:rsid w:val="00C1442D"/>
    <w:rsid w:val="00C16897"/>
    <w:rsid w:val="00C21E64"/>
    <w:rsid w:val="00C22E91"/>
    <w:rsid w:val="00C24900"/>
    <w:rsid w:val="00C31E28"/>
    <w:rsid w:val="00C327D7"/>
    <w:rsid w:val="00C333A0"/>
    <w:rsid w:val="00C35CD0"/>
    <w:rsid w:val="00C413BA"/>
    <w:rsid w:val="00C50F87"/>
    <w:rsid w:val="00C51A19"/>
    <w:rsid w:val="00C5797D"/>
    <w:rsid w:val="00C60708"/>
    <w:rsid w:val="00C62168"/>
    <w:rsid w:val="00C6559A"/>
    <w:rsid w:val="00C67710"/>
    <w:rsid w:val="00C67AB6"/>
    <w:rsid w:val="00C7272E"/>
    <w:rsid w:val="00C76729"/>
    <w:rsid w:val="00C908E6"/>
    <w:rsid w:val="00C92EC2"/>
    <w:rsid w:val="00C93874"/>
    <w:rsid w:val="00CA322F"/>
    <w:rsid w:val="00CA5BD9"/>
    <w:rsid w:val="00CB075E"/>
    <w:rsid w:val="00CB237D"/>
    <w:rsid w:val="00CB344F"/>
    <w:rsid w:val="00CB423C"/>
    <w:rsid w:val="00CB5AAB"/>
    <w:rsid w:val="00CB6B8A"/>
    <w:rsid w:val="00CB6F21"/>
    <w:rsid w:val="00CC4E6C"/>
    <w:rsid w:val="00CD0C8C"/>
    <w:rsid w:val="00CD689E"/>
    <w:rsid w:val="00CE0F69"/>
    <w:rsid w:val="00CE2D41"/>
    <w:rsid w:val="00CE312C"/>
    <w:rsid w:val="00CF0E09"/>
    <w:rsid w:val="00CF2E7B"/>
    <w:rsid w:val="00D00DC1"/>
    <w:rsid w:val="00D12EFF"/>
    <w:rsid w:val="00D13148"/>
    <w:rsid w:val="00D1594E"/>
    <w:rsid w:val="00D15A53"/>
    <w:rsid w:val="00D33E76"/>
    <w:rsid w:val="00D35177"/>
    <w:rsid w:val="00D353D6"/>
    <w:rsid w:val="00D35918"/>
    <w:rsid w:val="00D52247"/>
    <w:rsid w:val="00D52421"/>
    <w:rsid w:val="00D54BEC"/>
    <w:rsid w:val="00D5523B"/>
    <w:rsid w:val="00D6013F"/>
    <w:rsid w:val="00D631E5"/>
    <w:rsid w:val="00D72F82"/>
    <w:rsid w:val="00D75EC8"/>
    <w:rsid w:val="00D80B35"/>
    <w:rsid w:val="00D83410"/>
    <w:rsid w:val="00D851DB"/>
    <w:rsid w:val="00D92F4C"/>
    <w:rsid w:val="00D9609C"/>
    <w:rsid w:val="00D9656A"/>
    <w:rsid w:val="00DA0CBF"/>
    <w:rsid w:val="00DA106C"/>
    <w:rsid w:val="00DA345B"/>
    <w:rsid w:val="00DA3F59"/>
    <w:rsid w:val="00DA62D4"/>
    <w:rsid w:val="00DB185D"/>
    <w:rsid w:val="00DB1D87"/>
    <w:rsid w:val="00DB3FB8"/>
    <w:rsid w:val="00DD144B"/>
    <w:rsid w:val="00DD2950"/>
    <w:rsid w:val="00DD6AC5"/>
    <w:rsid w:val="00DD6B71"/>
    <w:rsid w:val="00DD7F21"/>
    <w:rsid w:val="00DE125F"/>
    <w:rsid w:val="00DE2514"/>
    <w:rsid w:val="00E0575B"/>
    <w:rsid w:val="00E05C27"/>
    <w:rsid w:val="00E07A09"/>
    <w:rsid w:val="00E1394E"/>
    <w:rsid w:val="00E164AD"/>
    <w:rsid w:val="00E165F8"/>
    <w:rsid w:val="00E35F37"/>
    <w:rsid w:val="00E41DAF"/>
    <w:rsid w:val="00E5039D"/>
    <w:rsid w:val="00E56EBE"/>
    <w:rsid w:val="00E604D1"/>
    <w:rsid w:val="00E7135E"/>
    <w:rsid w:val="00E71993"/>
    <w:rsid w:val="00E77565"/>
    <w:rsid w:val="00E836AE"/>
    <w:rsid w:val="00E83A94"/>
    <w:rsid w:val="00E86308"/>
    <w:rsid w:val="00E87F6D"/>
    <w:rsid w:val="00E913CC"/>
    <w:rsid w:val="00E97935"/>
    <w:rsid w:val="00E97A4C"/>
    <w:rsid w:val="00EA11EB"/>
    <w:rsid w:val="00EA2CD0"/>
    <w:rsid w:val="00EA3A5E"/>
    <w:rsid w:val="00EA45A8"/>
    <w:rsid w:val="00EA768A"/>
    <w:rsid w:val="00EB3020"/>
    <w:rsid w:val="00EC5ED5"/>
    <w:rsid w:val="00ED15A2"/>
    <w:rsid w:val="00ED18A4"/>
    <w:rsid w:val="00ED213F"/>
    <w:rsid w:val="00ED50F2"/>
    <w:rsid w:val="00ED68B4"/>
    <w:rsid w:val="00ED691F"/>
    <w:rsid w:val="00EF2084"/>
    <w:rsid w:val="00EF245D"/>
    <w:rsid w:val="00F04EF3"/>
    <w:rsid w:val="00F119F9"/>
    <w:rsid w:val="00F16AE7"/>
    <w:rsid w:val="00F20948"/>
    <w:rsid w:val="00F239A4"/>
    <w:rsid w:val="00F262FB"/>
    <w:rsid w:val="00F33F54"/>
    <w:rsid w:val="00F35E13"/>
    <w:rsid w:val="00F437FA"/>
    <w:rsid w:val="00F447E8"/>
    <w:rsid w:val="00F51013"/>
    <w:rsid w:val="00F51B78"/>
    <w:rsid w:val="00F530A4"/>
    <w:rsid w:val="00F533B5"/>
    <w:rsid w:val="00F574F6"/>
    <w:rsid w:val="00F61C3F"/>
    <w:rsid w:val="00F63229"/>
    <w:rsid w:val="00F65348"/>
    <w:rsid w:val="00F6562F"/>
    <w:rsid w:val="00F72518"/>
    <w:rsid w:val="00F72A6B"/>
    <w:rsid w:val="00F72D57"/>
    <w:rsid w:val="00F75198"/>
    <w:rsid w:val="00F7762C"/>
    <w:rsid w:val="00F77CD6"/>
    <w:rsid w:val="00F8044F"/>
    <w:rsid w:val="00F80BBE"/>
    <w:rsid w:val="00F8109F"/>
    <w:rsid w:val="00F82570"/>
    <w:rsid w:val="00F832C2"/>
    <w:rsid w:val="00F842DD"/>
    <w:rsid w:val="00F84AEB"/>
    <w:rsid w:val="00F85BE2"/>
    <w:rsid w:val="00F910A5"/>
    <w:rsid w:val="00F94DE7"/>
    <w:rsid w:val="00F978D3"/>
    <w:rsid w:val="00FA5FBA"/>
    <w:rsid w:val="00FA6119"/>
    <w:rsid w:val="00FA6551"/>
    <w:rsid w:val="00FB2FBA"/>
    <w:rsid w:val="00FB35E6"/>
    <w:rsid w:val="00FB657B"/>
    <w:rsid w:val="00FD6BA5"/>
    <w:rsid w:val="00FE032B"/>
    <w:rsid w:val="00FE2B65"/>
    <w:rsid w:val="00FE618B"/>
    <w:rsid w:val="00FE6F4B"/>
    <w:rsid w:val="00FF06DB"/>
    <w:rsid w:val="00FF0A7B"/>
    <w:rsid w:val="00FF2A8E"/>
  </w:rsids>
  <m:mathPr>
    <m:mathFont m:val="Cambria Math"/>
    <m:brkBin m:val="before"/>
    <m:brkBinSub m:val="--"/>
    <m:smallFrac m:val="0"/>
    <m:dispDef m:val="0"/>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CA6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8E26FA"/>
    <w:pPr>
      <w:spacing w:after="200"/>
    </w:pPr>
    <w:rPr>
      <w:rFonts w:ascii="Arial" w:hAnsi="Arial"/>
      <w:color w:val="000000"/>
      <w:sz w:val="18"/>
      <w:lang w:val="en-US" w:eastAsia="ja-JP"/>
    </w:rPr>
  </w:style>
  <w:style w:type="paragraph" w:styleId="Heading1">
    <w:name w:val="heading 1"/>
    <w:aliases w:val="Heading"/>
    <w:basedOn w:val="Normal"/>
    <w:next w:val="Normal"/>
    <w:qFormat/>
    <w:rsid w:val="00950911"/>
    <w:pPr>
      <w:keepNext/>
      <w:ind w:left="2160" w:hanging="2160"/>
      <w:outlineLvl w:val="0"/>
    </w:pPr>
    <w:rPr>
      <w:rFonts w:ascii="Stone Sans Bold" w:hAnsi="Stone Sans Bold"/>
      <w:color w:val="0051A4"/>
      <w:sz w:val="40"/>
    </w:rPr>
  </w:style>
  <w:style w:type="paragraph" w:styleId="Heading2">
    <w:name w:val="heading 2"/>
    <w:aliases w:val="Subhead 1"/>
    <w:basedOn w:val="Normal"/>
    <w:next w:val="Normal"/>
    <w:qFormat/>
    <w:rsid w:val="00950911"/>
    <w:pPr>
      <w:keepNext/>
      <w:ind w:left="2880" w:hanging="2880"/>
      <w:outlineLvl w:val="1"/>
    </w:pPr>
    <w:rPr>
      <w:rFonts w:ascii="Helvetica Neue" w:hAnsi="Helvetica Neue"/>
      <w:sz w:val="20"/>
    </w:rPr>
  </w:style>
  <w:style w:type="paragraph" w:styleId="Heading3">
    <w:name w:val="heading 3"/>
    <w:basedOn w:val="Normal"/>
    <w:next w:val="Normal"/>
    <w:link w:val="Heading3Char"/>
    <w:uiPriority w:val="9"/>
    <w:unhideWhenUsed/>
    <w:qFormat/>
    <w:rsid w:val="0090423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isys Headers"/>
    <w:basedOn w:val="Normal"/>
    <w:rsid w:val="008E26FA"/>
    <w:pPr>
      <w:tabs>
        <w:tab w:val="center" w:pos="4320"/>
        <w:tab w:val="right" w:pos="8640"/>
      </w:tabs>
    </w:pPr>
    <w:rPr>
      <w:rFonts w:ascii="Arial Narrow" w:hAnsi="Arial Narrow"/>
      <w:b/>
      <w:color w:val="312B65"/>
      <w:sz w:val="76"/>
    </w:rPr>
  </w:style>
  <w:style w:type="paragraph" w:customStyle="1" w:styleId="NASDAQTitles">
    <w:name w:val="NASDAQ_Titles"/>
    <w:basedOn w:val="NormalWeb"/>
    <w:qFormat/>
    <w:rsid w:val="00C6559A"/>
    <w:pPr>
      <w:keepNext/>
      <w:spacing w:before="270" w:after="0"/>
    </w:pPr>
    <w:rPr>
      <w:rFonts w:eastAsia="Times New Roman"/>
      <w:color w:val="auto"/>
      <w:sz w:val="28"/>
      <w:szCs w:val="2"/>
    </w:rPr>
  </w:style>
  <w:style w:type="paragraph" w:styleId="NormalWeb">
    <w:name w:val="Normal (Web)"/>
    <w:basedOn w:val="Normal"/>
    <w:uiPriority w:val="99"/>
    <w:unhideWhenUsed/>
    <w:rsid w:val="00C6559A"/>
    <w:rPr>
      <w:rFonts w:ascii="Times New Roman" w:hAnsi="Times New Roman"/>
      <w:sz w:val="24"/>
      <w:szCs w:val="24"/>
    </w:rPr>
  </w:style>
  <w:style w:type="paragraph" w:customStyle="1" w:styleId="NASDAQHeader">
    <w:name w:val="NASDAQ Header"/>
    <w:basedOn w:val="NormalWeb"/>
    <w:autoRedefine/>
    <w:qFormat/>
    <w:rsid w:val="00680DB1"/>
    <w:pPr>
      <w:spacing w:before="240" w:after="0"/>
    </w:pPr>
    <w:rPr>
      <w:rFonts w:eastAsia="Times New Roman"/>
      <w:b/>
      <w:bCs/>
      <w:color w:val="auto"/>
      <w:sz w:val="28"/>
      <w:szCs w:val="20"/>
    </w:rPr>
  </w:style>
  <w:style w:type="paragraph" w:styleId="BalloonText">
    <w:name w:val="Balloon Text"/>
    <w:basedOn w:val="Normal"/>
    <w:link w:val="BalloonTextChar"/>
    <w:uiPriority w:val="99"/>
    <w:semiHidden/>
    <w:unhideWhenUsed/>
    <w:rsid w:val="00836693"/>
    <w:pPr>
      <w:spacing w:after="0"/>
    </w:pPr>
    <w:rPr>
      <w:rFonts w:ascii="Lucida Grande" w:hAnsi="Lucida Grande" w:cs="Lucida Grande"/>
      <w:szCs w:val="18"/>
    </w:rPr>
  </w:style>
  <w:style w:type="character" w:customStyle="1" w:styleId="BalloonTextChar">
    <w:name w:val="Balloon Text Char"/>
    <w:link w:val="BalloonText"/>
    <w:uiPriority w:val="99"/>
    <w:semiHidden/>
    <w:rsid w:val="00836693"/>
    <w:rPr>
      <w:rFonts w:ascii="Lucida Grande" w:hAnsi="Lucida Grande" w:cs="Lucida Grande"/>
      <w:color w:val="000000"/>
      <w:sz w:val="18"/>
      <w:szCs w:val="18"/>
    </w:rPr>
  </w:style>
  <w:style w:type="paragraph" w:customStyle="1" w:styleId="LetterheadText">
    <w:name w:val="Letterhead Text"/>
    <w:basedOn w:val="Normal"/>
    <w:qFormat/>
    <w:rsid w:val="002E383E"/>
    <w:pPr>
      <w:widowControl w:val="0"/>
      <w:autoSpaceDE w:val="0"/>
      <w:autoSpaceDN w:val="0"/>
      <w:adjustRightInd w:val="0"/>
      <w:spacing w:after="0" w:line="280" w:lineRule="exact"/>
    </w:pPr>
    <w:rPr>
      <w:rFonts w:ascii="Calibri" w:hAnsi="Calibri"/>
      <w:noProof/>
      <w:color w:val="auto"/>
      <w:sz w:val="22"/>
      <w:szCs w:val="22"/>
      <w:lang w:eastAsia="en-US"/>
    </w:rPr>
  </w:style>
  <w:style w:type="paragraph" w:customStyle="1" w:styleId="LetterheadAddress">
    <w:name w:val="Letterhead Address"/>
    <w:basedOn w:val="Normal"/>
    <w:qFormat/>
    <w:rsid w:val="002E383E"/>
    <w:pPr>
      <w:widowControl w:val="0"/>
      <w:autoSpaceDE w:val="0"/>
      <w:autoSpaceDN w:val="0"/>
      <w:adjustRightInd w:val="0"/>
      <w:spacing w:after="0"/>
    </w:pPr>
    <w:rPr>
      <w:rFonts w:ascii="Calibri" w:hAnsi="Calibri"/>
      <w:color w:val="auto"/>
      <w:szCs w:val="18"/>
    </w:rPr>
  </w:style>
  <w:style w:type="character" w:customStyle="1" w:styleId="Heading3Char">
    <w:name w:val="Heading 3 Char"/>
    <w:basedOn w:val="DefaultParagraphFont"/>
    <w:link w:val="Heading3"/>
    <w:uiPriority w:val="9"/>
    <w:rsid w:val="0090423F"/>
    <w:rPr>
      <w:rFonts w:asciiTheme="majorHAnsi" w:eastAsiaTheme="majorEastAsia" w:hAnsiTheme="majorHAnsi" w:cstheme="majorBidi"/>
      <w:b/>
      <w:bCs/>
      <w:color w:val="000000"/>
      <w:sz w:val="26"/>
      <w:szCs w:val="26"/>
      <w:lang w:val="en-US" w:eastAsia="ja-JP"/>
    </w:rPr>
  </w:style>
  <w:style w:type="paragraph" w:styleId="BodyText">
    <w:name w:val="Body Text"/>
    <w:basedOn w:val="Normal"/>
    <w:link w:val="BodyTextChar"/>
    <w:rsid w:val="0090423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60" w:lineRule="atLeast"/>
    </w:pPr>
    <w:rPr>
      <w:rFonts w:ascii="Times New Roman" w:eastAsia="Times New Roman" w:hAnsi="Times New Roman"/>
      <w:color w:val="auto"/>
      <w:sz w:val="22"/>
      <w:lang w:eastAsia="sv-SE"/>
    </w:rPr>
  </w:style>
  <w:style w:type="character" w:customStyle="1" w:styleId="BodyTextChar">
    <w:name w:val="Body Text Char"/>
    <w:basedOn w:val="DefaultParagraphFont"/>
    <w:link w:val="BodyText"/>
    <w:rsid w:val="0090423F"/>
    <w:rPr>
      <w:rFonts w:ascii="Times New Roman" w:eastAsia="Times New Roman" w:hAnsi="Times New Roman"/>
      <w:sz w:val="22"/>
      <w:lang w:val="en-US" w:eastAsia="sv-SE"/>
    </w:rPr>
  </w:style>
  <w:style w:type="character" w:styleId="Hyperlink">
    <w:name w:val="Hyperlink"/>
    <w:rsid w:val="0090423F"/>
    <w:rPr>
      <w:color w:val="808080"/>
      <w:spacing w:val="0"/>
      <w:u w:val="single"/>
    </w:rPr>
  </w:style>
  <w:style w:type="paragraph" w:styleId="ListParagraph">
    <w:name w:val="List Paragraph"/>
    <w:basedOn w:val="Normal"/>
    <w:uiPriority w:val="34"/>
    <w:qFormat/>
    <w:rsid w:val="0090423F"/>
    <w:pPr>
      <w:spacing w:after="0" w:line="260" w:lineRule="atLeast"/>
      <w:ind w:left="720"/>
      <w:contextualSpacing/>
    </w:pPr>
    <w:rPr>
      <w:rFonts w:ascii="Times New Roman" w:eastAsia="Times New Roman" w:hAnsi="Times New Roman"/>
      <w:color w:val="auto"/>
      <w:sz w:val="22"/>
      <w:lang w:eastAsia="sv-SE"/>
    </w:rPr>
  </w:style>
  <w:style w:type="character" w:styleId="FollowedHyperlink">
    <w:name w:val="FollowedHyperlink"/>
    <w:basedOn w:val="DefaultParagraphFont"/>
    <w:uiPriority w:val="99"/>
    <w:semiHidden/>
    <w:unhideWhenUsed/>
    <w:rsid w:val="0090423F"/>
    <w:rPr>
      <w:color w:val="800080" w:themeColor="followedHyperlink"/>
      <w:u w:val="single"/>
    </w:rPr>
  </w:style>
  <w:style w:type="table" w:styleId="TableGrid">
    <w:name w:val="Table Grid"/>
    <w:basedOn w:val="TableNormal"/>
    <w:uiPriority w:val="59"/>
    <w:rsid w:val="00F2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693"/>
    <w:rPr>
      <w:b/>
      <w:bCs/>
    </w:rPr>
  </w:style>
  <w:style w:type="character" w:styleId="CommentReference">
    <w:name w:val="annotation reference"/>
    <w:basedOn w:val="DefaultParagraphFont"/>
    <w:uiPriority w:val="99"/>
    <w:semiHidden/>
    <w:unhideWhenUsed/>
    <w:rsid w:val="00ED18A4"/>
    <w:rPr>
      <w:sz w:val="16"/>
      <w:szCs w:val="16"/>
    </w:rPr>
  </w:style>
  <w:style w:type="paragraph" w:styleId="CommentText">
    <w:name w:val="annotation text"/>
    <w:basedOn w:val="Normal"/>
    <w:link w:val="CommentTextChar"/>
    <w:uiPriority w:val="99"/>
    <w:semiHidden/>
    <w:unhideWhenUsed/>
    <w:rsid w:val="00ED18A4"/>
    <w:rPr>
      <w:sz w:val="20"/>
    </w:rPr>
  </w:style>
  <w:style w:type="character" w:customStyle="1" w:styleId="CommentTextChar">
    <w:name w:val="Comment Text Char"/>
    <w:basedOn w:val="DefaultParagraphFont"/>
    <w:link w:val="CommentText"/>
    <w:uiPriority w:val="99"/>
    <w:semiHidden/>
    <w:rsid w:val="00ED18A4"/>
    <w:rPr>
      <w:rFonts w:ascii="Arial" w:hAnsi="Arial"/>
      <w:color w:val="000000"/>
      <w:lang w:val="en-US" w:eastAsia="ja-JP"/>
    </w:rPr>
  </w:style>
  <w:style w:type="paragraph" w:styleId="CommentSubject">
    <w:name w:val="annotation subject"/>
    <w:basedOn w:val="CommentText"/>
    <w:next w:val="CommentText"/>
    <w:link w:val="CommentSubjectChar"/>
    <w:uiPriority w:val="99"/>
    <w:semiHidden/>
    <w:unhideWhenUsed/>
    <w:rsid w:val="00ED18A4"/>
    <w:rPr>
      <w:b/>
      <w:bCs/>
    </w:rPr>
  </w:style>
  <w:style w:type="character" w:customStyle="1" w:styleId="CommentSubjectChar">
    <w:name w:val="Comment Subject Char"/>
    <w:basedOn w:val="CommentTextChar"/>
    <w:link w:val="CommentSubject"/>
    <w:uiPriority w:val="99"/>
    <w:semiHidden/>
    <w:rsid w:val="00ED18A4"/>
    <w:rPr>
      <w:rFonts w:ascii="Arial" w:hAnsi="Arial"/>
      <w:b/>
      <w:bCs/>
      <w:color w:val="000000"/>
      <w:lang w:val="en-US" w:eastAsia="ja-JP"/>
    </w:rPr>
  </w:style>
  <w:style w:type="paragraph" w:styleId="Footer">
    <w:name w:val="footer"/>
    <w:basedOn w:val="Normal"/>
    <w:link w:val="FooterChar"/>
    <w:uiPriority w:val="99"/>
    <w:unhideWhenUsed/>
    <w:rsid w:val="00922DB4"/>
    <w:pPr>
      <w:tabs>
        <w:tab w:val="center" w:pos="4986"/>
        <w:tab w:val="right" w:pos="9972"/>
      </w:tabs>
      <w:spacing w:after="0"/>
    </w:pPr>
  </w:style>
  <w:style w:type="character" w:customStyle="1" w:styleId="FooterChar">
    <w:name w:val="Footer Char"/>
    <w:basedOn w:val="DefaultParagraphFont"/>
    <w:link w:val="Footer"/>
    <w:uiPriority w:val="99"/>
    <w:rsid w:val="00922DB4"/>
    <w:rPr>
      <w:rFonts w:ascii="Arial" w:hAnsi="Arial"/>
      <w:color w:val="000000"/>
      <w:sz w:val="18"/>
      <w:lang w:val="en-US" w:eastAsia="ja-JP"/>
    </w:rPr>
  </w:style>
  <w:style w:type="paragraph" w:styleId="Revision">
    <w:name w:val="Revision"/>
    <w:hidden/>
    <w:uiPriority w:val="99"/>
    <w:semiHidden/>
    <w:rsid w:val="00CB075E"/>
    <w:rPr>
      <w:rFonts w:ascii="Arial" w:hAnsi="Arial"/>
      <w:color w:val="000000"/>
      <w:sz w:val="18"/>
      <w:lang w:val="en-US" w:eastAsia="ja-JP"/>
    </w:rPr>
  </w:style>
  <w:style w:type="paragraph" w:styleId="FootnoteText">
    <w:name w:val="footnote text"/>
    <w:basedOn w:val="Normal"/>
    <w:link w:val="FootnoteTextChar"/>
    <w:uiPriority w:val="99"/>
    <w:unhideWhenUsed/>
    <w:rsid w:val="00A049F4"/>
    <w:pPr>
      <w:spacing w:after="0"/>
    </w:pPr>
    <w:rPr>
      <w:sz w:val="24"/>
      <w:szCs w:val="24"/>
    </w:rPr>
  </w:style>
  <w:style w:type="character" w:customStyle="1" w:styleId="FootnoteTextChar">
    <w:name w:val="Footnote Text Char"/>
    <w:basedOn w:val="DefaultParagraphFont"/>
    <w:link w:val="FootnoteText"/>
    <w:uiPriority w:val="99"/>
    <w:rsid w:val="00A049F4"/>
    <w:rPr>
      <w:rFonts w:ascii="Arial" w:hAnsi="Arial"/>
      <w:color w:val="000000"/>
      <w:sz w:val="24"/>
      <w:szCs w:val="24"/>
      <w:lang w:val="en-US" w:eastAsia="ja-JP"/>
    </w:rPr>
  </w:style>
  <w:style w:type="character" w:styleId="FootnoteReference">
    <w:name w:val="footnote reference"/>
    <w:basedOn w:val="DefaultParagraphFont"/>
    <w:uiPriority w:val="99"/>
    <w:unhideWhenUsed/>
    <w:rsid w:val="00A049F4"/>
    <w:rPr>
      <w:vertAlign w:val="superscript"/>
    </w:rPr>
  </w:style>
  <w:style w:type="paragraph" w:styleId="EndnoteText">
    <w:name w:val="endnote text"/>
    <w:basedOn w:val="Normal"/>
    <w:link w:val="EndnoteTextChar"/>
    <w:uiPriority w:val="99"/>
    <w:unhideWhenUsed/>
    <w:rsid w:val="00123B4C"/>
    <w:pPr>
      <w:spacing w:after="0"/>
    </w:pPr>
    <w:rPr>
      <w:sz w:val="24"/>
      <w:szCs w:val="24"/>
    </w:rPr>
  </w:style>
  <w:style w:type="character" w:customStyle="1" w:styleId="EndnoteTextChar">
    <w:name w:val="Endnote Text Char"/>
    <w:basedOn w:val="DefaultParagraphFont"/>
    <w:link w:val="EndnoteText"/>
    <w:uiPriority w:val="99"/>
    <w:rsid w:val="00123B4C"/>
    <w:rPr>
      <w:rFonts w:ascii="Arial" w:hAnsi="Arial"/>
      <w:color w:val="000000"/>
      <w:sz w:val="24"/>
      <w:szCs w:val="24"/>
      <w:lang w:val="en-US" w:eastAsia="ja-JP"/>
    </w:rPr>
  </w:style>
  <w:style w:type="character" w:styleId="EndnoteReference">
    <w:name w:val="endnote reference"/>
    <w:basedOn w:val="DefaultParagraphFont"/>
    <w:uiPriority w:val="99"/>
    <w:unhideWhenUsed/>
    <w:rsid w:val="00123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2345">
      <w:bodyDiv w:val="1"/>
      <w:marLeft w:val="0"/>
      <w:marRight w:val="0"/>
      <w:marTop w:val="0"/>
      <w:marBottom w:val="0"/>
      <w:divBdr>
        <w:top w:val="none" w:sz="0" w:space="0" w:color="auto"/>
        <w:left w:val="none" w:sz="0" w:space="0" w:color="auto"/>
        <w:bottom w:val="none" w:sz="0" w:space="0" w:color="auto"/>
        <w:right w:val="none" w:sz="0" w:space="0" w:color="auto"/>
      </w:divBdr>
    </w:div>
    <w:div w:id="286862730">
      <w:bodyDiv w:val="1"/>
      <w:marLeft w:val="0"/>
      <w:marRight w:val="0"/>
      <w:marTop w:val="0"/>
      <w:marBottom w:val="0"/>
      <w:divBdr>
        <w:top w:val="none" w:sz="0" w:space="0" w:color="auto"/>
        <w:left w:val="none" w:sz="0" w:space="0" w:color="auto"/>
        <w:bottom w:val="none" w:sz="0" w:space="0" w:color="auto"/>
        <w:right w:val="none" w:sz="0" w:space="0" w:color="auto"/>
      </w:divBdr>
    </w:div>
    <w:div w:id="309789634">
      <w:bodyDiv w:val="1"/>
      <w:marLeft w:val="0"/>
      <w:marRight w:val="0"/>
      <w:marTop w:val="0"/>
      <w:marBottom w:val="0"/>
      <w:divBdr>
        <w:top w:val="none" w:sz="0" w:space="0" w:color="auto"/>
        <w:left w:val="none" w:sz="0" w:space="0" w:color="auto"/>
        <w:bottom w:val="none" w:sz="0" w:space="0" w:color="auto"/>
        <w:right w:val="none" w:sz="0" w:space="0" w:color="auto"/>
      </w:divBdr>
    </w:div>
    <w:div w:id="487405697">
      <w:bodyDiv w:val="1"/>
      <w:marLeft w:val="0"/>
      <w:marRight w:val="0"/>
      <w:marTop w:val="0"/>
      <w:marBottom w:val="0"/>
      <w:divBdr>
        <w:top w:val="none" w:sz="0" w:space="0" w:color="auto"/>
        <w:left w:val="none" w:sz="0" w:space="0" w:color="auto"/>
        <w:bottom w:val="none" w:sz="0" w:space="0" w:color="auto"/>
        <w:right w:val="none" w:sz="0" w:space="0" w:color="auto"/>
      </w:divBdr>
    </w:div>
    <w:div w:id="575361312">
      <w:bodyDiv w:val="1"/>
      <w:marLeft w:val="0"/>
      <w:marRight w:val="0"/>
      <w:marTop w:val="0"/>
      <w:marBottom w:val="0"/>
      <w:divBdr>
        <w:top w:val="none" w:sz="0" w:space="0" w:color="auto"/>
        <w:left w:val="none" w:sz="0" w:space="0" w:color="auto"/>
        <w:bottom w:val="none" w:sz="0" w:space="0" w:color="auto"/>
        <w:right w:val="none" w:sz="0" w:space="0" w:color="auto"/>
      </w:divBdr>
    </w:div>
    <w:div w:id="593132693">
      <w:bodyDiv w:val="1"/>
      <w:marLeft w:val="0"/>
      <w:marRight w:val="0"/>
      <w:marTop w:val="0"/>
      <w:marBottom w:val="0"/>
      <w:divBdr>
        <w:top w:val="none" w:sz="0" w:space="0" w:color="auto"/>
        <w:left w:val="none" w:sz="0" w:space="0" w:color="auto"/>
        <w:bottom w:val="none" w:sz="0" w:space="0" w:color="auto"/>
        <w:right w:val="none" w:sz="0" w:space="0" w:color="auto"/>
      </w:divBdr>
    </w:div>
    <w:div w:id="732700172">
      <w:bodyDiv w:val="1"/>
      <w:marLeft w:val="0"/>
      <w:marRight w:val="0"/>
      <w:marTop w:val="0"/>
      <w:marBottom w:val="0"/>
      <w:divBdr>
        <w:top w:val="none" w:sz="0" w:space="0" w:color="auto"/>
        <w:left w:val="none" w:sz="0" w:space="0" w:color="auto"/>
        <w:bottom w:val="none" w:sz="0" w:space="0" w:color="auto"/>
        <w:right w:val="none" w:sz="0" w:space="0" w:color="auto"/>
      </w:divBdr>
    </w:div>
    <w:div w:id="857893910">
      <w:bodyDiv w:val="1"/>
      <w:marLeft w:val="0"/>
      <w:marRight w:val="0"/>
      <w:marTop w:val="0"/>
      <w:marBottom w:val="0"/>
      <w:divBdr>
        <w:top w:val="none" w:sz="0" w:space="0" w:color="auto"/>
        <w:left w:val="none" w:sz="0" w:space="0" w:color="auto"/>
        <w:bottom w:val="none" w:sz="0" w:space="0" w:color="auto"/>
        <w:right w:val="none" w:sz="0" w:space="0" w:color="auto"/>
      </w:divBdr>
    </w:div>
    <w:div w:id="930770825">
      <w:bodyDiv w:val="1"/>
      <w:marLeft w:val="0"/>
      <w:marRight w:val="0"/>
      <w:marTop w:val="0"/>
      <w:marBottom w:val="0"/>
      <w:divBdr>
        <w:top w:val="none" w:sz="0" w:space="0" w:color="auto"/>
        <w:left w:val="none" w:sz="0" w:space="0" w:color="auto"/>
        <w:bottom w:val="none" w:sz="0" w:space="0" w:color="auto"/>
        <w:right w:val="none" w:sz="0" w:space="0" w:color="auto"/>
      </w:divBdr>
    </w:div>
    <w:div w:id="969016487">
      <w:bodyDiv w:val="1"/>
      <w:marLeft w:val="0"/>
      <w:marRight w:val="0"/>
      <w:marTop w:val="0"/>
      <w:marBottom w:val="0"/>
      <w:divBdr>
        <w:top w:val="none" w:sz="0" w:space="0" w:color="auto"/>
        <w:left w:val="none" w:sz="0" w:space="0" w:color="auto"/>
        <w:bottom w:val="none" w:sz="0" w:space="0" w:color="auto"/>
        <w:right w:val="none" w:sz="0" w:space="0" w:color="auto"/>
      </w:divBdr>
    </w:div>
    <w:div w:id="1115833129">
      <w:bodyDiv w:val="1"/>
      <w:marLeft w:val="0"/>
      <w:marRight w:val="0"/>
      <w:marTop w:val="0"/>
      <w:marBottom w:val="0"/>
      <w:divBdr>
        <w:top w:val="none" w:sz="0" w:space="0" w:color="auto"/>
        <w:left w:val="none" w:sz="0" w:space="0" w:color="auto"/>
        <w:bottom w:val="none" w:sz="0" w:space="0" w:color="auto"/>
        <w:right w:val="none" w:sz="0" w:space="0" w:color="auto"/>
      </w:divBdr>
    </w:div>
    <w:div w:id="1146628071">
      <w:bodyDiv w:val="1"/>
      <w:marLeft w:val="0"/>
      <w:marRight w:val="0"/>
      <w:marTop w:val="0"/>
      <w:marBottom w:val="0"/>
      <w:divBdr>
        <w:top w:val="none" w:sz="0" w:space="0" w:color="auto"/>
        <w:left w:val="none" w:sz="0" w:space="0" w:color="auto"/>
        <w:bottom w:val="none" w:sz="0" w:space="0" w:color="auto"/>
        <w:right w:val="none" w:sz="0" w:space="0" w:color="auto"/>
      </w:divBdr>
    </w:div>
    <w:div w:id="1242132379">
      <w:bodyDiv w:val="1"/>
      <w:marLeft w:val="0"/>
      <w:marRight w:val="0"/>
      <w:marTop w:val="0"/>
      <w:marBottom w:val="0"/>
      <w:divBdr>
        <w:top w:val="none" w:sz="0" w:space="0" w:color="auto"/>
        <w:left w:val="none" w:sz="0" w:space="0" w:color="auto"/>
        <w:bottom w:val="none" w:sz="0" w:space="0" w:color="auto"/>
        <w:right w:val="none" w:sz="0" w:space="0" w:color="auto"/>
      </w:divBdr>
    </w:div>
    <w:div w:id="1268661713">
      <w:bodyDiv w:val="1"/>
      <w:marLeft w:val="0"/>
      <w:marRight w:val="0"/>
      <w:marTop w:val="0"/>
      <w:marBottom w:val="0"/>
      <w:divBdr>
        <w:top w:val="none" w:sz="0" w:space="0" w:color="auto"/>
        <w:left w:val="none" w:sz="0" w:space="0" w:color="auto"/>
        <w:bottom w:val="none" w:sz="0" w:space="0" w:color="auto"/>
        <w:right w:val="none" w:sz="0" w:space="0" w:color="auto"/>
      </w:divBdr>
    </w:div>
    <w:div w:id="1276525494">
      <w:bodyDiv w:val="1"/>
      <w:marLeft w:val="0"/>
      <w:marRight w:val="0"/>
      <w:marTop w:val="0"/>
      <w:marBottom w:val="0"/>
      <w:divBdr>
        <w:top w:val="none" w:sz="0" w:space="0" w:color="auto"/>
        <w:left w:val="none" w:sz="0" w:space="0" w:color="auto"/>
        <w:bottom w:val="none" w:sz="0" w:space="0" w:color="auto"/>
        <w:right w:val="none" w:sz="0" w:space="0" w:color="auto"/>
      </w:divBdr>
    </w:div>
    <w:div w:id="1407261832">
      <w:bodyDiv w:val="1"/>
      <w:marLeft w:val="0"/>
      <w:marRight w:val="0"/>
      <w:marTop w:val="0"/>
      <w:marBottom w:val="0"/>
      <w:divBdr>
        <w:top w:val="none" w:sz="0" w:space="0" w:color="auto"/>
        <w:left w:val="none" w:sz="0" w:space="0" w:color="auto"/>
        <w:bottom w:val="none" w:sz="0" w:space="0" w:color="auto"/>
        <w:right w:val="none" w:sz="0" w:space="0" w:color="auto"/>
      </w:divBdr>
    </w:div>
    <w:div w:id="1407613056">
      <w:bodyDiv w:val="1"/>
      <w:marLeft w:val="0"/>
      <w:marRight w:val="0"/>
      <w:marTop w:val="0"/>
      <w:marBottom w:val="0"/>
      <w:divBdr>
        <w:top w:val="none" w:sz="0" w:space="0" w:color="auto"/>
        <w:left w:val="none" w:sz="0" w:space="0" w:color="auto"/>
        <w:bottom w:val="none" w:sz="0" w:space="0" w:color="auto"/>
        <w:right w:val="none" w:sz="0" w:space="0" w:color="auto"/>
      </w:divBdr>
    </w:div>
    <w:div w:id="1430276103">
      <w:bodyDiv w:val="1"/>
      <w:marLeft w:val="0"/>
      <w:marRight w:val="0"/>
      <w:marTop w:val="0"/>
      <w:marBottom w:val="0"/>
      <w:divBdr>
        <w:top w:val="none" w:sz="0" w:space="0" w:color="auto"/>
        <w:left w:val="none" w:sz="0" w:space="0" w:color="auto"/>
        <w:bottom w:val="none" w:sz="0" w:space="0" w:color="auto"/>
        <w:right w:val="none" w:sz="0" w:space="0" w:color="auto"/>
      </w:divBdr>
    </w:div>
    <w:div w:id="1491561859">
      <w:bodyDiv w:val="1"/>
      <w:marLeft w:val="0"/>
      <w:marRight w:val="0"/>
      <w:marTop w:val="0"/>
      <w:marBottom w:val="0"/>
      <w:divBdr>
        <w:top w:val="none" w:sz="0" w:space="0" w:color="auto"/>
        <w:left w:val="none" w:sz="0" w:space="0" w:color="auto"/>
        <w:bottom w:val="none" w:sz="0" w:space="0" w:color="auto"/>
        <w:right w:val="none" w:sz="0" w:space="0" w:color="auto"/>
      </w:divBdr>
    </w:div>
    <w:div w:id="1625963519">
      <w:bodyDiv w:val="1"/>
      <w:marLeft w:val="0"/>
      <w:marRight w:val="0"/>
      <w:marTop w:val="0"/>
      <w:marBottom w:val="0"/>
      <w:divBdr>
        <w:top w:val="none" w:sz="0" w:space="0" w:color="auto"/>
        <w:left w:val="none" w:sz="0" w:space="0" w:color="auto"/>
        <w:bottom w:val="none" w:sz="0" w:space="0" w:color="auto"/>
        <w:right w:val="none" w:sz="0" w:space="0" w:color="auto"/>
      </w:divBdr>
    </w:div>
    <w:div w:id="1870949003">
      <w:bodyDiv w:val="1"/>
      <w:marLeft w:val="0"/>
      <w:marRight w:val="0"/>
      <w:marTop w:val="0"/>
      <w:marBottom w:val="0"/>
      <w:divBdr>
        <w:top w:val="none" w:sz="0" w:space="0" w:color="auto"/>
        <w:left w:val="none" w:sz="0" w:space="0" w:color="auto"/>
        <w:bottom w:val="none" w:sz="0" w:space="0" w:color="auto"/>
        <w:right w:val="none" w:sz="0" w:space="0" w:color="auto"/>
      </w:divBdr>
    </w:div>
    <w:div w:id="1892763206">
      <w:bodyDiv w:val="1"/>
      <w:marLeft w:val="0"/>
      <w:marRight w:val="0"/>
      <w:marTop w:val="0"/>
      <w:marBottom w:val="0"/>
      <w:divBdr>
        <w:top w:val="none" w:sz="0" w:space="0" w:color="auto"/>
        <w:left w:val="none" w:sz="0" w:space="0" w:color="auto"/>
        <w:bottom w:val="none" w:sz="0" w:space="0" w:color="auto"/>
        <w:right w:val="none" w:sz="0" w:space="0" w:color="auto"/>
      </w:divBdr>
    </w:div>
    <w:div w:id="2119912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daqomx.com/transactions/technicalinformation/inet/connectivity-access" TargetMode="External"/><Relationship Id="rId18" Type="http://schemas.openxmlformats.org/officeDocument/2006/relationships/hyperlink" Target="mailto:richard.gaudy@nasdaqom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sdaqomx.com/transactions/technicalinformation/connectivity" TargetMode="External"/><Relationship Id="rId17" Type="http://schemas.openxmlformats.org/officeDocument/2006/relationships/hyperlink" Target="mailto:technicalrelations@nasdaq.com" TargetMode="External"/><Relationship Id="rId2" Type="http://schemas.openxmlformats.org/officeDocument/2006/relationships/numbering" Target="numbering.xml"/><Relationship Id="rId16" Type="http://schemas.openxmlformats.org/officeDocument/2006/relationships/hyperlink" Target="mailto:ronny.thellman@nasdaq.com" TargetMode="External"/><Relationship Id="rId20" Type="http://schemas.openxmlformats.org/officeDocument/2006/relationships/hyperlink" Target="mailto:TechOpsEU@nasda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daqomx.com/transactions/technicalinformation" TargetMode="External"/><Relationship Id="rId5" Type="http://schemas.openxmlformats.org/officeDocument/2006/relationships/webSettings" Target="webSettings.xml"/><Relationship Id="rId15" Type="http://schemas.openxmlformats.org/officeDocument/2006/relationships/hyperlink" Target="http://www.nasdaqomx.com/transactions/technicalinformation/technicalpricelists" TargetMode="External"/><Relationship Id="rId10" Type="http://schemas.openxmlformats.org/officeDocument/2006/relationships/hyperlink" Target="https://newsclient.omxgroup.com/cdsPublic/viewDisclosure.action?disclosureId=757430&amp;lang=en" TargetMode="External"/><Relationship Id="rId19" Type="http://schemas.openxmlformats.org/officeDocument/2006/relationships/hyperlink" Target="mailto:operator@nasdaq.com" TargetMode="External"/><Relationship Id="rId4" Type="http://schemas.openxmlformats.org/officeDocument/2006/relationships/settings" Target="settings.xml"/><Relationship Id="rId9" Type="http://schemas.openxmlformats.org/officeDocument/2006/relationships/hyperlink" Target="https://newsclient.omxgroup.com/cdsPublic/viewDisclosure.action?disclosureId=767216&amp;lang=en" TargetMode="External"/><Relationship Id="rId14" Type="http://schemas.openxmlformats.org/officeDocument/2006/relationships/hyperlink" Target="mailto:dataproducts@nasdaq.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F5FB-722E-4D4F-A4EC-14C4FE53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Michael Frank Graphic design</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Zhu</dc:creator>
  <cp:lastModifiedBy>Agnė Kavaliauskaitė</cp:lastModifiedBy>
  <cp:revision>5</cp:revision>
  <cp:lastPrinted>2017-04-04T13:54:00Z</cp:lastPrinted>
  <dcterms:created xsi:type="dcterms:W3CDTF">2017-04-12T12:59:00Z</dcterms:created>
  <dcterms:modified xsi:type="dcterms:W3CDTF">2017-04-12T15:04:00Z</dcterms:modified>
</cp:coreProperties>
</file>